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527BA" w14:textId="77777777" w:rsidR="00556604" w:rsidRPr="00B912F4" w:rsidRDefault="00556604" w:rsidP="0055660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12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ASSESSORIA JURÍDICA</w:t>
      </w:r>
    </w:p>
    <w:p w14:paraId="43C1F68B" w14:textId="77777777" w:rsidR="00556604" w:rsidRPr="00B912F4" w:rsidRDefault="00556604" w:rsidP="0055660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12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PARECER JURÍDICO </w:t>
      </w:r>
    </w:p>
    <w:p w14:paraId="52362437" w14:textId="77777777" w:rsidR="00F1673C" w:rsidRPr="00DD15EA" w:rsidRDefault="00F1673C" w:rsidP="00F167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981DB" w14:textId="438957F9" w:rsidR="00A12F02" w:rsidRDefault="00556604" w:rsidP="00A849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5EA">
        <w:rPr>
          <w:rFonts w:ascii="Times New Roman" w:hAnsi="Times New Roman" w:cs="Times New Roman"/>
          <w:b/>
          <w:bCs/>
          <w:sz w:val="24"/>
          <w:szCs w:val="24"/>
        </w:rPr>
        <w:t>DISPENSA DE LICITAÇÃO</w:t>
      </w:r>
      <w:r w:rsidR="00F1673C" w:rsidRPr="00DD15EA">
        <w:rPr>
          <w:rFonts w:ascii="Times New Roman" w:hAnsi="Times New Roman" w:cs="Times New Roman"/>
          <w:b/>
          <w:bCs/>
          <w:sz w:val="24"/>
          <w:szCs w:val="24"/>
        </w:rPr>
        <w:t xml:space="preserve"> POR SITUAÇÃO EMERGENCIAL</w:t>
      </w:r>
      <w:r w:rsidRPr="00DD15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00CEAA" w14:textId="77777777" w:rsidR="00B912F4" w:rsidRPr="00DD15EA" w:rsidRDefault="00B912F4" w:rsidP="00A849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78AB8" w14:textId="2FEEF819" w:rsidR="00C21973" w:rsidRPr="00DD15EA" w:rsidRDefault="00556604" w:rsidP="00F1673C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 w:rsidRPr="00DD15EA">
        <w:rPr>
          <w:rFonts w:ascii="Times New Roman" w:hAnsi="Times New Roman" w:cs="Times New Roman"/>
          <w:b/>
          <w:bCs/>
          <w:sz w:val="24"/>
          <w:szCs w:val="24"/>
        </w:rPr>
        <w:t xml:space="preserve">Trata-se de solicitação da Secretaria Municipal de </w:t>
      </w:r>
      <w:r w:rsidR="00704453" w:rsidRPr="00DD15EA">
        <w:rPr>
          <w:rFonts w:ascii="Times New Roman" w:hAnsi="Times New Roman" w:cs="Times New Roman"/>
          <w:b/>
          <w:bCs/>
          <w:sz w:val="24"/>
          <w:szCs w:val="24"/>
        </w:rPr>
        <w:t>Saúde e Assistência Social</w:t>
      </w:r>
      <w:r w:rsidRPr="00DD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F02" w:rsidRPr="00DD15EA">
        <w:rPr>
          <w:rFonts w:ascii="Times New Roman" w:hAnsi="Times New Roman" w:cs="Times New Roman"/>
          <w:b/>
          <w:bCs/>
          <w:sz w:val="24"/>
          <w:szCs w:val="24"/>
        </w:rPr>
        <w:t>visando</w:t>
      </w:r>
      <w:r w:rsidRPr="00DD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F02" w:rsidRPr="00DD15E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bookmarkStart w:id="0" w:name="_Hlk14071685"/>
      <w:bookmarkStart w:id="1" w:name="_Hlk16693997"/>
      <w:r w:rsidR="00A8495A" w:rsidRPr="00DD15EA">
        <w:rPr>
          <w:rFonts w:ascii="Times New Roman" w:hAnsi="Times New Roman" w:cs="Times New Roman"/>
          <w:b/>
          <w:bCs/>
          <w:sz w:val="24"/>
          <w:szCs w:val="24"/>
        </w:rPr>
        <w:t>aquisição direta de cateter de poliuretano com revestimento hidrofílico</w:t>
      </w:r>
      <w:r w:rsidR="00A12F02" w:rsidRPr="00DD15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D307E" w:rsidRPr="00DD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73C" w:rsidRPr="00DD15EA">
        <w:rPr>
          <w:rFonts w:ascii="Times New Roman" w:hAnsi="Times New Roman" w:cs="Times New Roman"/>
          <w:b/>
          <w:bCs/>
          <w:sz w:val="24"/>
          <w:szCs w:val="24"/>
        </w:rPr>
        <w:t xml:space="preserve">para </w:t>
      </w:r>
      <w:bookmarkEnd w:id="0"/>
      <w:r w:rsidR="00A8495A" w:rsidRPr="00DD15EA">
        <w:rPr>
          <w:rFonts w:ascii="Times New Roman" w:hAnsi="Times New Roman" w:cs="Times New Roman"/>
          <w:b/>
          <w:bCs/>
          <w:sz w:val="24"/>
          <w:szCs w:val="24"/>
        </w:rPr>
        <w:t>o munícipe Arnaldo Lewin</w:t>
      </w:r>
      <w:bookmarkEnd w:id="1"/>
      <w:r w:rsidR="00A8495A" w:rsidRPr="00DD15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90093D" w14:textId="3F5AE393" w:rsidR="00F1673C" w:rsidRPr="00DD15EA" w:rsidRDefault="00F1673C" w:rsidP="009F6DF7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1CD95DDD" w14:textId="69145C3E" w:rsidR="00F1673C" w:rsidRPr="00DD15EA" w:rsidRDefault="00F1673C" w:rsidP="00F1673C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 xml:space="preserve">A Secretaria Municipal de Saúde e Assistência Social objetiva </w:t>
      </w:r>
      <w:bookmarkStart w:id="2" w:name="_Hlk16694297"/>
      <w:r w:rsidRPr="00DD15EA">
        <w:rPr>
          <w:rFonts w:ascii="Times New Roman" w:hAnsi="Times New Roman" w:cs="Times New Roman"/>
          <w:sz w:val="24"/>
          <w:szCs w:val="24"/>
        </w:rPr>
        <w:t xml:space="preserve">a </w:t>
      </w:r>
      <w:r w:rsidR="00A8495A" w:rsidRPr="00DD15EA">
        <w:rPr>
          <w:rFonts w:ascii="Times New Roman" w:hAnsi="Times New Roman" w:cs="Times New Roman"/>
          <w:sz w:val="24"/>
          <w:szCs w:val="24"/>
        </w:rPr>
        <w:t>aquisição direta de cateter de poliuretano com revestimento hidrofílico, para o munícipe Arnaldo Lewin</w:t>
      </w:r>
      <w:bookmarkEnd w:id="2"/>
      <w:r w:rsidRPr="00DD15EA">
        <w:rPr>
          <w:rFonts w:ascii="Times New Roman" w:hAnsi="Times New Roman" w:cs="Times New Roman"/>
          <w:sz w:val="24"/>
          <w:szCs w:val="24"/>
        </w:rPr>
        <w:t>. Segundo a Secretaria a contratação direta se justifica pelos motivos abaixo expostos:</w:t>
      </w:r>
    </w:p>
    <w:p w14:paraId="214F8E7D" w14:textId="77777777" w:rsidR="00A8495A" w:rsidRPr="00DD15EA" w:rsidRDefault="00C21973" w:rsidP="00F1673C">
      <w:pPr>
        <w:ind w:left="851" w:hanging="284"/>
        <w:rPr>
          <w:rFonts w:ascii="Times New Roman" w:hAnsi="Times New Roman" w:cs="Times New Roman"/>
          <w:i/>
          <w:iCs/>
        </w:rPr>
      </w:pPr>
      <w:r w:rsidRPr="00DD15EA">
        <w:rPr>
          <w:rFonts w:ascii="Times New Roman" w:hAnsi="Times New Roman" w:cs="Times New Roman"/>
          <w:i/>
          <w:iCs/>
        </w:rPr>
        <w:t>1.</w:t>
      </w:r>
      <w:r w:rsidRPr="00DD15EA">
        <w:rPr>
          <w:rFonts w:ascii="Times New Roman" w:hAnsi="Times New Roman" w:cs="Times New Roman"/>
          <w:i/>
          <w:iCs/>
        </w:rPr>
        <w:tab/>
      </w:r>
      <w:r w:rsidR="00A8495A" w:rsidRPr="00DD15EA">
        <w:rPr>
          <w:rFonts w:ascii="Times New Roman" w:hAnsi="Times New Roman" w:cs="Times New Roman"/>
          <w:i/>
          <w:iCs/>
        </w:rPr>
        <w:t>O munícipe Arnaldo Lewin, transplantado, diagnosticado com Bexiga neurogênica (Cid: _N31*) necessita realizar o CIL 4 vezes ao dia para esvaziamento da bexiga a fim de evitar que tenha resíduo miccional, o que proporciona condições ideais para crescimento de bactérias e episódios de infecção urinária.</w:t>
      </w:r>
    </w:p>
    <w:p w14:paraId="4B58DDB6" w14:textId="77777777" w:rsidR="00A8495A" w:rsidRPr="00DD15EA" w:rsidRDefault="00456396" w:rsidP="00F1673C">
      <w:pPr>
        <w:ind w:left="851" w:hanging="284"/>
        <w:rPr>
          <w:rFonts w:ascii="Times New Roman" w:hAnsi="Times New Roman" w:cs="Times New Roman"/>
          <w:i/>
          <w:iCs/>
        </w:rPr>
      </w:pPr>
      <w:r w:rsidRPr="00DD15EA">
        <w:rPr>
          <w:rFonts w:ascii="Times New Roman" w:hAnsi="Times New Roman" w:cs="Times New Roman"/>
          <w:i/>
          <w:iCs/>
        </w:rPr>
        <w:t>2</w:t>
      </w:r>
      <w:r w:rsidR="00C21973" w:rsidRPr="00DD15EA">
        <w:rPr>
          <w:rFonts w:ascii="Times New Roman" w:hAnsi="Times New Roman" w:cs="Times New Roman"/>
          <w:i/>
          <w:iCs/>
        </w:rPr>
        <w:t>.</w:t>
      </w:r>
      <w:r w:rsidR="00C21973" w:rsidRPr="00DD15EA">
        <w:rPr>
          <w:rFonts w:ascii="Times New Roman" w:hAnsi="Times New Roman" w:cs="Times New Roman"/>
          <w:i/>
          <w:iCs/>
        </w:rPr>
        <w:tab/>
      </w:r>
      <w:bookmarkStart w:id="3" w:name="_Hlk8741865"/>
      <w:r w:rsidR="00A8495A" w:rsidRPr="00DD15EA">
        <w:rPr>
          <w:rFonts w:ascii="Times New Roman" w:hAnsi="Times New Roman" w:cs="Times New Roman"/>
          <w:i/>
          <w:iCs/>
        </w:rPr>
        <w:t xml:space="preserve">Para tal procedimento se faz necessário o uso de cateter de poliuretano com revestimento hidrofílico, pronto para uso e de uso único, calibre 12 pois o lubrificante existente no cateter está distribuído uniformemente em toda sua extensão, reduzindo com isso, o trauma e a contaminação durante a passagem do cateter e consequentemente os riscos de complicação como o comprometimento renal. </w:t>
      </w:r>
    </w:p>
    <w:p w14:paraId="0D4D4BBF" w14:textId="458CA637" w:rsidR="00A8495A" w:rsidRDefault="00456396" w:rsidP="00A8495A">
      <w:pPr>
        <w:ind w:left="851" w:hanging="284"/>
        <w:rPr>
          <w:rFonts w:ascii="Times New Roman" w:hAnsi="Times New Roman" w:cs="Times New Roman"/>
          <w:i/>
          <w:iCs/>
        </w:rPr>
      </w:pPr>
      <w:r w:rsidRPr="00DD15EA">
        <w:rPr>
          <w:rFonts w:ascii="Times New Roman" w:hAnsi="Times New Roman" w:cs="Times New Roman"/>
          <w:i/>
          <w:iCs/>
        </w:rPr>
        <w:t>3</w:t>
      </w:r>
      <w:r w:rsidR="00C21973" w:rsidRPr="00DD15EA">
        <w:rPr>
          <w:rFonts w:ascii="Times New Roman" w:hAnsi="Times New Roman" w:cs="Times New Roman"/>
          <w:i/>
          <w:iCs/>
        </w:rPr>
        <w:t>.</w:t>
      </w:r>
      <w:r w:rsidR="00C21973" w:rsidRPr="00DD15EA">
        <w:rPr>
          <w:rFonts w:ascii="Times New Roman" w:hAnsi="Times New Roman" w:cs="Times New Roman"/>
          <w:i/>
          <w:iCs/>
        </w:rPr>
        <w:tab/>
      </w:r>
      <w:bookmarkEnd w:id="3"/>
      <w:r w:rsidR="00A8495A" w:rsidRPr="00DD15EA">
        <w:rPr>
          <w:rFonts w:ascii="Times New Roman" w:hAnsi="Times New Roman" w:cs="Times New Roman"/>
          <w:i/>
          <w:iCs/>
        </w:rPr>
        <w:t>O Município em obediência a Lei 8.666/93 deverá licitar a aquisição do produto para seu regular fornecimento, e que o munícipe não pode prescindir do cateter, sob pena de risco de morte, porém o fornecimento através de contrato oriundo de Processo Licitatório poderá levar até 03 (três) meses, entre elaboração de edital, prazos para publicação, recursos, assinatura do contrato e efetivo fornecimento, prazo este que não pode ser suportado pelo paciente.</w:t>
      </w:r>
    </w:p>
    <w:p w14:paraId="3FD16B24" w14:textId="77777777" w:rsidR="00DD15EA" w:rsidRPr="00DD15EA" w:rsidRDefault="00DD15EA" w:rsidP="00A8495A">
      <w:pPr>
        <w:ind w:left="851" w:hanging="284"/>
        <w:rPr>
          <w:rFonts w:ascii="Times New Roman" w:hAnsi="Times New Roman" w:cs="Times New Roman"/>
          <w:i/>
          <w:iCs/>
        </w:rPr>
      </w:pPr>
    </w:p>
    <w:p w14:paraId="1C15BB46" w14:textId="77777777" w:rsidR="00901957" w:rsidRPr="00DD15EA" w:rsidRDefault="00556604" w:rsidP="00F1673C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>É notório que a realização de Licitação é regra e a não-licitação é exceção, sendo que as</w:t>
      </w:r>
      <w:r w:rsidR="00C21973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exceções são os casos previstos na Lei nº8.666/93 de Dispensa e de Inexigibilidade.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 xml:space="preserve">A licitação pode ser dispensada quando a conveniência administrativa, </w:t>
      </w:r>
      <w:r w:rsidRPr="00DD15EA">
        <w:rPr>
          <w:rFonts w:ascii="Times New Roman" w:hAnsi="Times New Roman" w:cs="Times New Roman"/>
          <w:sz w:val="24"/>
          <w:szCs w:val="24"/>
        </w:rPr>
        <w:lastRenderedPageBreak/>
        <w:t>aliada ao</w:t>
      </w:r>
      <w:r w:rsidR="00C21973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interesse público específico são enquadráveis nas previsões do art. 24 da Lei nº8.666/93.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Aduz</w:t>
      </w:r>
      <w:r w:rsidRPr="00DD15EA">
        <w:rPr>
          <w:rFonts w:ascii="Times New Roman" w:hAnsi="Times New Roman" w:cs="Times New Roman"/>
          <w:sz w:val="24"/>
          <w:szCs w:val="24"/>
        </w:rPr>
        <w:t xml:space="preserve"> o art. 24, inciso IV da Lei nº8.666/93: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E37D0" w14:textId="21AE68F4" w:rsidR="00556604" w:rsidRDefault="00556604" w:rsidP="00DD15EA">
      <w:pPr>
        <w:ind w:left="567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“nos casos de emergência ou de calamidade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pública, quando caracterizada urgência de atendimentos de situação que possa ocasionar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prejuízo ou comprometer a segurança de pessoas, obras e serviços, equipamentos e ou outros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bens, públicos e particulares e somente para bens necessários ao atendimento da situação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emergencial ou calamitosa e para as parcelas de obras e serviços que possam ser concluídas no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prazo máximo de 180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(cento e oitenta) dias consecutivos e ininterruptos, contados da ocorrência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da emergência ou calamidade, vedada a prorrogação dos respectivos contratos</w:t>
      </w:r>
      <w:r w:rsidR="00901957" w:rsidRPr="00DD15EA">
        <w:rPr>
          <w:rFonts w:ascii="Times New Roman" w:hAnsi="Times New Roman" w:cs="Times New Roman"/>
          <w:i/>
        </w:rPr>
        <w:t>.”</w:t>
      </w:r>
    </w:p>
    <w:p w14:paraId="3AFD0B11" w14:textId="77777777" w:rsidR="00DD15EA" w:rsidRPr="00DD15EA" w:rsidRDefault="00DD15EA" w:rsidP="00DD15EA">
      <w:pPr>
        <w:ind w:left="567"/>
        <w:rPr>
          <w:rFonts w:ascii="Times New Roman" w:hAnsi="Times New Roman" w:cs="Times New Roman"/>
          <w:i/>
        </w:rPr>
      </w:pPr>
    </w:p>
    <w:p w14:paraId="046FCFB4" w14:textId="77777777" w:rsidR="00556604" w:rsidRPr="00DD15EA" w:rsidRDefault="00556604" w:rsidP="00F1673C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>Considera-se como situação emergencial, asseguradora da regular dispensa de licitação,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aquela que precisa ser atendida com urgência, objetivando a não ocorrência de prejuízos, não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sendo comprovada a desídia do Administrador ou falta de planejamento. Já por calamidade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pública, entendam-se aquelas desgraças que atingem, de repente, grande número de cidadãos,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como, por exemplo, podemos citar a seca, as inundações, enxurradas, desabamentos, peste,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guerra, incêndio, terremoto, vendaval.</w:t>
      </w:r>
    </w:p>
    <w:p w14:paraId="507FD527" w14:textId="77777777" w:rsidR="00556604" w:rsidRPr="00DD15EA" w:rsidRDefault="00556604" w:rsidP="00F1673C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>O ínclito Jessé Torres Pereira Júnior, ao comentar o referido dispositivo, cujo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entendimento é compartilhado pela doutrina dominante, afirma que:</w:t>
      </w:r>
    </w:p>
    <w:p w14:paraId="53210BD0" w14:textId="77777777" w:rsidR="00556604" w:rsidRPr="00DD15EA" w:rsidRDefault="00556604" w:rsidP="00DD15EA">
      <w:pPr>
        <w:ind w:left="567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“Já na vigência da Lei nº 8.666/93, o Tribunal de Contas da União definiu que: ´além da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adoção das formalidades previstas no art. 26 e seu parágrafo único da nº Lei nº 8.666/93,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são pressupostos da aplicação do caso de dispensa preconizados no art. 24, inciso IV, da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mesma lei:</w:t>
      </w:r>
    </w:p>
    <w:p w14:paraId="35CF11D1" w14:textId="77777777" w:rsidR="00556604" w:rsidRPr="00DD15EA" w:rsidRDefault="00556604" w:rsidP="00DD15EA">
      <w:pPr>
        <w:ind w:left="851" w:hanging="284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a.1) que a situação adversa, dada como de emergência ou de calamidade pública, não se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tenha originado, total ou parcialmente da falta de planejamento, da desídia administrativa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ou da má gestão dos recursos disponíveis, ou seja, que ela não possa, em alguma medida,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ser atribuída à culpa ou dolo do agente público que tinha o dever de agir para prevenir a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ocorrência de tal situação;</w:t>
      </w:r>
    </w:p>
    <w:p w14:paraId="63EB3DF0" w14:textId="77777777" w:rsidR="00556604" w:rsidRPr="00DD15EA" w:rsidRDefault="00556604" w:rsidP="00DD15EA">
      <w:pPr>
        <w:ind w:left="851" w:hanging="284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a.2) que exista urgência concreta e efetiva do atendimento a situação decorrente do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estado emergencial ou calamitoso, visando afastar risco de danos a bens ou à saúde ou à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vida das pessoas;</w:t>
      </w:r>
    </w:p>
    <w:p w14:paraId="52B4172C" w14:textId="77777777" w:rsidR="00556604" w:rsidRPr="00DD15EA" w:rsidRDefault="00556604" w:rsidP="00DD15EA">
      <w:pPr>
        <w:ind w:left="851" w:hanging="284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a.3) que o risco, além de concreto e efetivamente provável, se mostre iminente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e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especialmente gravoso;</w:t>
      </w:r>
    </w:p>
    <w:p w14:paraId="624CEDB9" w14:textId="38A0E51E" w:rsidR="00DD15EA" w:rsidRPr="00DD15EA" w:rsidRDefault="00556604" w:rsidP="003A535F">
      <w:pPr>
        <w:ind w:left="851" w:hanging="284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a.4) que a imediata efetivação, por meio de contratação com terceiro, de determinadas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obras, serviços ou compras, segundo as especificações e quantitativos tecnicamente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apurados, seja o meio adequado, efetivo e eficiente de afastar o risco iminente detectado</w:t>
      </w:r>
      <w:r w:rsidR="00901957" w:rsidRPr="00DD15EA">
        <w:rPr>
          <w:rFonts w:ascii="Times New Roman" w:hAnsi="Times New Roman" w:cs="Times New Roman"/>
          <w:i/>
        </w:rPr>
        <w:t>.”</w:t>
      </w:r>
    </w:p>
    <w:p w14:paraId="63F2EED6" w14:textId="77777777" w:rsidR="00556604" w:rsidRPr="00DD15EA" w:rsidRDefault="00556604" w:rsidP="00F1673C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lastRenderedPageBreak/>
        <w:t xml:space="preserve">Consoante o 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renomado </w:t>
      </w:r>
      <w:r w:rsidRPr="00DD15EA">
        <w:rPr>
          <w:rFonts w:ascii="Times New Roman" w:hAnsi="Times New Roman" w:cs="Times New Roman"/>
          <w:sz w:val="24"/>
          <w:szCs w:val="24"/>
        </w:rPr>
        <w:t>Professor Marçal Justen Filho, para a caracterização dessa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hipótese de dispensa de licitação é necessário o preenchimento de dois requisitos, quais sejam,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a demonstração concreta e efetiva da potencialidade do dano e a demonstração de que a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contratação é a via adequada e efetiva para eliminar o risco.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O Tribunal de Contas da União tem mantido o posicionamento de que é cabível a</w:t>
      </w:r>
      <w:r w:rsidR="00901957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dispensa de licitação:</w:t>
      </w:r>
    </w:p>
    <w:p w14:paraId="79C1749C" w14:textId="77777777" w:rsidR="00556604" w:rsidRPr="00DD15EA" w:rsidRDefault="00556604" w:rsidP="00577855">
      <w:pPr>
        <w:ind w:left="567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Dispensa – emergência</w:t>
      </w:r>
    </w:p>
    <w:p w14:paraId="0DA381F5" w14:textId="77777777" w:rsidR="00556604" w:rsidRPr="00DD15EA" w:rsidRDefault="00556604" w:rsidP="00577855">
      <w:pPr>
        <w:ind w:left="567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TCU decidiu: “a urgência de atendimento para a dispensa de licitação é aquela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qualificada pelo risco da ocorrência de prejuízo ou comprometimento da segurança de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pessoas, obras e serviços, equipamentos ou outros bens públicos e particulares, caso as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medidas requeridas não sejam adotadas de pronto.”</w:t>
      </w:r>
      <w:r w:rsidR="0061431F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(Fonte: TCU. Processo nº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009.248/94-3. Decisão nº347/1994 – Plenário e TCU - Processo nº 500.296/96-0.</w:t>
      </w:r>
      <w:r w:rsidR="00901957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Decisão nº 820/1996- Plenário)</w:t>
      </w:r>
      <w:r w:rsidR="00901957" w:rsidRPr="00DD15EA">
        <w:rPr>
          <w:rFonts w:ascii="Times New Roman" w:hAnsi="Times New Roman" w:cs="Times New Roman"/>
          <w:i/>
        </w:rPr>
        <w:t>.”</w:t>
      </w:r>
    </w:p>
    <w:p w14:paraId="54BD3C17" w14:textId="77777777" w:rsidR="00556604" w:rsidRPr="00DD15EA" w:rsidRDefault="00556604" w:rsidP="00577855">
      <w:pPr>
        <w:ind w:left="567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“Emergência – calamidade pública</w:t>
      </w:r>
    </w:p>
    <w:p w14:paraId="7AB71F02" w14:textId="2934BEE1" w:rsidR="0061431F" w:rsidRDefault="00556604" w:rsidP="00577855">
      <w:pPr>
        <w:ind w:left="567"/>
        <w:rPr>
          <w:rFonts w:ascii="Times New Roman" w:hAnsi="Times New Roman" w:cs="Times New Roman"/>
          <w:i/>
        </w:rPr>
      </w:pPr>
      <w:r w:rsidRPr="00DD15EA">
        <w:rPr>
          <w:rFonts w:ascii="Times New Roman" w:hAnsi="Times New Roman" w:cs="Times New Roman"/>
          <w:i/>
        </w:rPr>
        <w:t>Nota : o TCU decidiu em resposta a consulta, que é dispensável a licitação no caso de</w:t>
      </w:r>
      <w:r w:rsidR="0061431F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calamidade pública desde que observados os artigos 24, IV, e 26 da Lei nº8.666/93,</w:t>
      </w:r>
      <w:r w:rsidR="0061431F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bem como os pressupostos estabelecidos em caráter normativo na Decisão nº 347/94 e</w:t>
      </w:r>
      <w:r w:rsidR="0061431F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ainda, a observância do Decreto federal nº895/93, justificativa da escolha do</w:t>
      </w:r>
      <w:r w:rsidR="0061431F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fornecedor</w:t>
      </w:r>
      <w:r w:rsidR="0061431F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(capacidade técnica).</w:t>
      </w:r>
      <w:r w:rsidR="0061431F" w:rsidRPr="00DD15EA">
        <w:rPr>
          <w:rFonts w:ascii="Times New Roman" w:hAnsi="Times New Roman" w:cs="Times New Roman"/>
          <w:i/>
        </w:rPr>
        <w:t xml:space="preserve"> </w:t>
      </w:r>
      <w:r w:rsidRPr="00DD15EA">
        <w:rPr>
          <w:rFonts w:ascii="Times New Roman" w:hAnsi="Times New Roman" w:cs="Times New Roman"/>
          <w:i/>
        </w:rPr>
        <w:t>Fonte: TCU. Processo nº929.114/98-1. Decisão nº 627/1999 – Plenário</w:t>
      </w:r>
      <w:r w:rsidR="0061431F" w:rsidRPr="00DD15EA">
        <w:rPr>
          <w:rFonts w:ascii="Times New Roman" w:hAnsi="Times New Roman" w:cs="Times New Roman"/>
          <w:i/>
        </w:rPr>
        <w:t>”.</w:t>
      </w:r>
    </w:p>
    <w:p w14:paraId="678B88BD" w14:textId="77777777" w:rsidR="00DD15EA" w:rsidRPr="00DD15EA" w:rsidRDefault="00DD15EA" w:rsidP="00577855">
      <w:pPr>
        <w:ind w:left="567"/>
        <w:rPr>
          <w:rFonts w:ascii="Times New Roman" w:hAnsi="Times New Roman" w:cs="Times New Roman"/>
          <w:i/>
        </w:rPr>
      </w:pPr>
    </w:p>
    <w:p w14:paraId="5E2D9C11" w14:textId="77777777" w:rsidR="00E370B2" w:rsidRPr="00DD15EA" w:rsidRDefault="00556604" w:rsidP="0057785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>Assim, o Estatuto de Licitações permite, como ressalva à obrigação de licitar, a</w:t>
      </w:r>
      <w:r w:rsidR="0061431F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contratação direta, através de processos de dispensa e inexigibilidade de licitação, desde</w:t>
      </w:r>
      <w:r w:rsidR="0061431F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que</w:t>
      </w:r>
      <w:r w:rsidR="0061431F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preenchidos os requisitos previstos na lei.</w:t>
      </w:r>
      <w:r w:rsidR="0061431F" w:rsidRPr="00DD1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6D8B7" w14:textId="77777777" w:rsidR="00DD15EA" w:rsidRDefault="00556604" w:rsidP="0057785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 xml:space="preserve">No caso em </w:t>
      </w:r>
      <w:r w:rsidR="0061431F" w:rsidRPr="00DD15EA">
        <w:rPr>
          <w:rFonts w:ascii="Times New Roman" w:hAnsi="Times New Roman" w:cs="Times New Roman"/>
          <w:sz w:val="24"/>
          <w:szCs w:val="24"/>
        </w:rPr>
        <w:t>comento</w:t>
      </w:r>
      <w:r w:rsidRPr="00DD15EA">
        <w:rPr>
          <w:rFonts w:ascii="Times New Roman" w:hAnsi="Times New Roman" w:cs="Times New Roman"/>
          <w:sz w:val="24"/>
          <w:szCs w:val="24"/>
        </w:rPr>
        <w:t xml:space="preserve">, a situação de emergência está plenamente comprovada, uma vez que </w:t>
      </w:r>
      <w:r w:rsidR="00E370B2" w:rsidRPr="00DD15EA">
        <w:rPr>
          <w:rFonts w:ascii="Times New Roman" w:hAnsi="Times New Roman" w:cs="Times New Roman"/>
          <w:sz w:val="24"/>
          <w:szCs w:val="24"/>
        </w:rPr>
        <w:t xml:space="preserve">está clara a necessidade de celeridade na contratação da empresa para </w:t>
      </w:r>
      <w:r w:rsidR="00A8495A" w:rsidRPr="00DD15EA">
        <w:rPr>
          <w:rFonts w:ascii="Times New Roman" w:hAnsi="Times New Roman" w:cs="Times New Roman"/>
          <w:sz w:val="24"/>
          <w:szCs w:val="24"/>
        </w:rPr>
        <w:t>a aquisição direta de cateter de poliuretano com revestimento hidrofílico, para o munícipe Arnaldo Lewin</w:t>
      </w:r>
      <w:r w:rsidR="00E370B2" w:rsidRPr="00DD15EA">
        <w:rPr>
          <w:rFonts w:ascii="Times New Roman" w:hAnsi="Times New Roman" w:cs="Times New Roman"/>
          <w:sz w:val="24"/>
          <w:szCs w:val="24"/>
        </w:rPr>
        <w:t xml:space="preserve">, visto </w:t>
      </w:r>
      <w:r w:rsidR="001A67B2" w:rsidRPr="00DD15EA">
        <w:rPr>
          <w:rFonts w:ascii="Times New Roman" w:hAnsi="Times New Roman" w:cs="Times New Roman"/>
          <w:sz w:val="24"/>
          <w:szCs w:val="24"/>
        </w:rPr>
        <w:t xml:space="preserve">que não é razoável que </w:t>
      </w:r>
      <w:r w:rsidR="00577855" w:rsidRPr="00DD15EA">
        <w:rPr>
          <w:rFonts w:ascii="Times New Roman" w:hAnsi="Times New Roman" w:cs="Times New Roman"/>
          <w:sz w:val="24"/>
          <w:szCs w:val="24"/>
        </w:rPr>
        <w:t>o paciente que precisa com urgência d</w:t>
      </w:r>
      <w:r w:rsidR="00A8495A" w:rsidRPr="00DD15EA">
        <w:rPr>
          <w:rFonts w:ascii="Times New Roman" w:hAnsi="Times New Roman" w:cs="Times New Roman"/>
          <w:sz w:val="24"/>
          <w:szCs w:val="24"/>
        </w:rPr>
        <w:t>o material</w:t>
      </w:r>
      <w:r w:rsidR="00577855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="00A8495A" w:rsidRPr="00DD15EA">
        <w:rPr>
          <w:rFonts w:ascii="Times New Roman" w:hAnsi="Times New Roman" w:cs="Times New Roman"/>
          <w:sz w:val="24"/>
          <w:szCs w:val="24"/>
        </w:rPr>
        <w:t>tenha que</w:t>
      </w:r>
      <w:r w:rsidR="00577855" w:rsidRPr="00DD15EA">
        <w:rPr>
          <w:rFonts w:ascii="Times New Roman" w:hAnsi="Times New Roman" w:cs="Times New Roman"/>
          <w:sz w:val="24"/>
          <w:szCs w:val="24"/>
        </w:rPr>
        <w:t xml:space="preserve"> esperar pelo desenrolar de um Processo Licitatório, o qual está sujeito a prazos legais, recursos e até mesmo suspensões em esfera judicial.</w:t>
      </w:r>
      <w:r w:rsidR="00DD1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91A42" w14:textId="01E8E146" w:rsidR="00A12F02" w:rsidRPr="00DD15EA" w:rsidRDefault="00DD15EA" w:rsidP="00577855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de se levar em conta também a dificuldade em se obter orçamentos, bem como no grande volume de serviço no Setor de Licitações, é composto por apenas um servidor, o qual faz jus a gozo de férias, fruição de horas excedentes constantes em banco de horas, saídas para cursos de aperfeiçoamento e afins. </w:t>
      </w:r>
    </w:p>
    <w:p w14:paraId="133E25FE" w14:textId="4A412443" w:rsidR="00556604" w:rsidRPr="00DD15EA" w:rsidRDefault="00556604" w:rsidP="0057785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>Assim, considerando que a contratação do serviço pode ser feita sem procedimento</w:t>
      </w:r>
      <w:r w:rsidR="00E370B2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 xml:space="preserve">licitatório, pois a situação se enquadra nas hipóteses do art. 24, inciso IV </w:t>
      </w:r>
      <w:r w:rsidRPr="00DD15EA">
        <w:rPr>
          <w:rFonts w:ascii="Times New Roman" w:hAnsi="Times New Roman" w:cs="Times New Roman"/>
          <w:sz w:val="24"/>
          <w:szCs w:val="24"/>
        </w:rPr>
        <w:lastRenderedPageBreak/>
        <w:t>da Lei</w:t>
      </w:r>
      <w:r w:rsidR="00E370B2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>nº</w:t>
      </w:r>
      <w:r w:rsidR="00E370B2" w:rsidRPr="00DD15EA">
        <w:rPr>
          <w:rFonts w:ascii="Times New Roman" w:hAnsi="Times New Roman" w:cs="Times New Roman"/>
          <w:sz w:val="24"/>
          <w:szCs w:val="24"/>
        </w:rPr>
        <w:t xml:space="preserve"> </w:t>
      </w:r>
      <w:r w:rsidRPr="00DD15EA">
        <w:rPr>
          <w:rFonts w:ascii="Times New Roman" w:hAnsi="Times New Roman" w:cs="Times New Roman"/>
          <w:sz w:val="24"/>
          <w:szCs w:val="24"/>
        </w:rPr>
        <w:t xml:space="preserve">8.666/93, </w:t>
      </w:r>
      <w:r w:rsidR="00DD15EA">
        <w:rPr>
          <w:rFonts w:ascii="Times New Roman" w:hAnsi="Times New Roman" w:cs="Times New Roman"/>
          <w:sz w:val="24"/>
          <w:szCs w:val="24"/>
          <w:u w:val="single"/>
        </w:rPr>
        <w:t>entendo não haver óbice de natureza jurídica para a pretendida contratação</w:t>
      </w:r>
      <w:r w:rsidR="00A12F02" w:rsidRPr="00DD15EA">
        <w:rPr>
          <w:rFonts w:ascii="Times New Roman" w:hAnsi="Times New Roman" w:cs="Times New Roman"/>
          <w:sz w:val="24"/>
          <w:szCs w:val="24"/>
        </w:rPr>
        <w:t>, que deverá ocorrer dentro dos preceitos legais, adotando todos os procedimentos de praxe para o feito</w:t>
      </w:r>
      <w:r w:rsidRPr="00DD15EA">
        <w:rPr>
          <w:rFonts w:ascii="Times New Roman" w:hAnsi="Times New Roman" w:cs="Times New Roman"/>
          <w:sz w:val="24"/>
          <w:szCs w:val="24"/>
        </w:rPr>
        <w:t>.</w:t>
      </w:r>
    </w:p>
    <w:p w14:paraId="1C582A8E" w14:textId="083080AF" w:rsidR="000247F1" w:rsidRPr="00DD15EA" w:rsidRDefault="000247F1" w:rsidP="00733681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DD15EA">
        <w:rPr>
          <w:rFonts w:ascii="Times New Roman" w:hAnsi="Times New Roman" w:cs="Times New Roman"/>
          <w:sz w:val="24"/>
          <w:szCs w:val="24"/>
        </w:rPr>
        <w:t>Saliento,</w:t>
      </w:r>
      <w:r w:rsidR="001A67B2" w:rsidRPr="00DD15EA">
        <w:rPr>
          <w:rFonts w:ascii="Times New Roman" w:hAnsi="Times New Roman" w:cs="Times New Roman"/>
          <w:sz w:val="24"/>
          <w:szCs w:val="24"/>
        </w:rPr>
        <w:t xml:space="preserve"> no entanto, que </w:t>
      </w:r>
      <w:r w:rsidR="001A67B2" w:rsidRPr="00DD15EA">
        <w:rPr>
          <w:rFonts w:ascii="Times New Roman" w:hAnsi="Times New Roman" w:cs="Times New Roman"/>
          <w:sz w:val="24"/>
          <w:szCs w:val="24"/>
          <w:u w:val="single"/>
        </w:rPr>
        <w:t>a contratação direta deverá se realizar pelo menor lapso temporal possível, estendendo-se somente pelo tempo necessário para a realização do devido Processo Licitatório.</w:t>
      </w:r>
    </w:p>
    <w:p w14:paraId="7D65526A" w14:textId="77777777" w:rsidR="002B0F3A" w:rsidRPr="00DD15EA" w:rsidRDefault="00A12F02" w:rsidP="002B0F3A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>É o Parecer.</w:t>
      </w:r>
    </w:p>
    <w:p w14:paraId="33179BA1" w14:textId="5591ED74" w:rsidR="00A12F02" w:rsidRPr="00DD15EA" w:rsidRDefault="00A12F02" w:rsidP="00A12F0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 xml:space="preserve">Doutor Pedrinho, </w:t>
      </w:r>
      <w:r w:rsidR="00FA61DF">
        <w:rPr>
          <w:rFonts w:ascii="Times New Roman" w:hAnsi="Times New Roman" w:cs="Times New Roman"/>
          <w:sz w:val="24"/>
          <w:szCs w:val="24"/>
        </w:rPr>
        <w:t>01</w:t>
      </w:r>
      <w:r w:rsidRPr="00DD15EA">
        <w:rPr>
          <w:rFonts w:ascii="Times New Roman" w:hAnsi="Times New Roman" w:cs="Times New Roman"/>
          <w:sz w:val="24"/>
          <w:szCs w:val="24"/>
        </w:rPr>
        <w:t xml:space="preserve"> de</w:t>
      </w:r>
      <w:r w:rsidR="00DD15EA">
        <w:rPr>
          <w:rFonts w:ascii="Times New Roman" w:hAnsi="Times New Roman" w:cs="Times New Roman"/>
          <w:sz w:val="24"/>
          <w:szCs w:val="24"/>
        </w:rPr>
        <w:t xml:space="preserve"> </w:t>
      </w:r>
      <w:r w:rsidR="00FA61DF">
        <w:rPr>
          <w:rFonts w:ascii="Times New Roman" w:hAnsi="Times New Roman" w:cs="Times New Roman"/>
          <w:sz w:val="24"/>
          <w:szCs w:val="24"/>
        </w:rPr>
        <w:t>novembro</w:t>
      </w:r>
      <w:bookmarkStart w:id="4" w:name="_GoBack"/>
      <w:bookmarkEnd w:id="4"/>
      <w:r w:rsidRPr="00DD15EA">
        <w:rPr>
          <w:rFonts w:ascii="Times New Roman" w:hAnsi="Times New Roman" w:cs="Times New Roman"/>
          <w:sz w:val="24"/>
          <w:szCs w:val="24"/>
        </w:rPr>
        <w:t xml:space="preserve"> de 2019.</w:t>
      </w:r>
    </w:p>
    <w:p w14:paraId="34E2C6D1" w14:textId="576FF17D" w:rsidR="002B0F3A" w:rsidRDefault="002B0F3A" w:rsidP="00577855">
      <w:pPr>
        <w:rPr>
          <w:rFonts w:ascii="Times New Roman" w:hAnsi="Times New Roman" w:cs="Times New Roman"/>
          <w:sz w:val="24"/>
          <w:szCs w:val="24"/>
        </w:rPr>
      </w:pPr>
    </w:p>
    <w:p w14:paraId="7C9039B3" w14:textId="77777777" w:rsidR="00DD15EA" w:rsidRPr="00DD15EA" w:rsidRDefault="00DD15EA" w:rsidP="00DD15EA">
      <w:pPr>
        <w:rPr>
          <w:rFonts w:ascii="Times New Roman" w:hAnsi="Times New Roman" w:cs="Times New Roman"/>
          <w:sz w:val="24"/>
          <w:szCs w:val="24"/>
        </w:rPr>
      </w:pPr>
    </w:p>
    <w:p w14:paraId="7AF2095A" w14:textId="77777777" w:rsidR="002B0F3A" w:rsidRPr="00DD15EA" w:rsidRDefault="002B0F3A" w:rsidP="00DD15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EA">
        <w:rPr>
          <w:rFonts w:ascii="Times New Roman" w:hAnsi="Times New Roman" w:cs="Times New Roman"/>
          <w:b/>
          <w:sz w:val="24"/>
          <w:szCs w:val="24"/>
        </w:rPr>
        <w:t>RONI ANDREAS MAEDA HASSLER</w:t>
      </w:r>
    </w:p>
    <w:p w14:paraId="325DC233" w14:textId="77777777" w:rsidR="000B5422" w:rsidRPr="00DD15EA" w:rsidRDefault="002B0F3A" w:rsidP="00DD15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5EA">
        <w:rPr>
          <w:rFonts w:ascii="Times New Roman" w:hAnsi="Times New Roman" w:cs="Times New Roman"/>
          <w:sz w:val="24"/>
          <w:szCs w:val="24"/>
        </w:rPr>
        <w:t>Assessor Jurídico OAB/SC 52.912</w:t>
      </w:r>
    </w:p>
    <w:p w14:paraId="6AF010F5" w14:textId="77777777" w:rsidR="00A8495A" w:rsidRPr="00A8495A" w:rsidRDefault="00A8495A">
      <w:pPr>
        <w:ind w:firstLine="1134"/>
        <w:jc w:val="center"/>
        <w:rPr>
          <w:rFonts w:ascii="Times New Roman" w:hAnsi="Times New Roman" w:cs="Times New Roman"/>
        </w:rPr>
      </w:pPr>
    </w:p>
    <w:sectPr w:rsidR="00A8495A" w:rsidRPr="00A8495A" w:rsidSect="003A535F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1AB3"/>
    <w:multiLevelType w:val="multilevel"/>
    <w:tmpl w:val="5BE606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04"/>
    <w:rsid w:val="000247F1"/>
    <w:rsid w:val="000B5422"/>
    <w:rsid w:val="001A67B2"/>
    <w:rsid w:val="002B0F3A"/>
    <w:rsid w:val="003A535F"/>
    <w:rsid w:val="003C2DA7"/>
    <w:rsid w:val="00456396"/>
    <w:rsid w:val="00556604"/>
    <w:rsid w:val="00577855"/>
    <w:rsid w:val="0061431F"/>
    <w:rsid w:val="00704453"/>
    <w:rsid w:val="00733681"/>
    <w:rsid w:val="007D307E"/>
    <w:rsid w:val="00901957"/>
    <w:rsid w:val="00940F67"/>
    <w:rsid w:val="009F6DF7"/>
    <w:rsid w:val="00A12F02"/>
    <w:rsid w:val="00A8495A"/>
    <w:rsid w:val="00B912F4"/>
    <w:rsid w:val="00C21973"/>
    <w:rsid w:val="00DD15EA"/>
    <w:rsid w:val="00E370B2"/>
    <w:rsid w:val="00F1673C"/>
    <w:rsid w:val="00FA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1FE4"/>
  <w15:chartTrackingRefBased/>
  <w15:docId w15:val="{AE16B053-71A1-45B0-8974-DDDB7473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F67"/>
    <w:pPr>
      <w:spacing w:after="20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940F67"/>
    <w:pPr>
      <w:keepNext/>
      <w:keepLines/>
      <w:numPr>
        <w:numId w:val="3"/>
      </w:numPr>
      <w:spacing w:before="480" w:after="0"/>
      <w:jc w:val="center"/>
      <w:outlineLvl w:val="0"/>
    </w:pPr>
    <w:rPr>
      <w:rFonts w:eastAsiaTheme="majorEastAsia" w:cstheme="majorBidi"/>
      <w:b/>
      <w:bCs/>
      <w:color w:val="00B050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40F67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Cs/>
      <w:color w:val="7B7B7B" w:themeColor="accent3" w:themeShade="B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0F67"/>
    <w:rPr>
      <w:rFonts w:ascii="Arial" w:eastAsiaTheme="majorEastAsia" w:hAnsi="Arial" w:cstheme="majorBidi"/>
      <w:b/>
      <w:bCs/>
      <w:color w:val="00B050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0F67"/>
    <w:rPr>
      <w:rFonts w:ascii="Arial" w:eastAsiaTheme="majorEastAsia" w:hAnsi="Arial" w:cstheme="majorBidi"/>
      <w:bCs/>
      <w:color w:val="7B7B7B" w:themeColor="accent3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1178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Hassler</dc:creator>
  <cp:keywords/>
  <dc:description/>
  <cp:lastModifiedBy>Roni Hassler</cp:lastModifiedBy>
  <cp:revision>6</cp:revision>
  <dcterms:created xsi:type="dcterms:W3CDTF">2019-10-30T19:34:00Z</dcterms:created>
  <dcterms:modified xsi:type="dcterms:W3CDTF">2019-11-01T19:41:00Z</dcterms:modified>
</cp:coreProperties>
</file>