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B25E0" w14:textId="77777777" w:rsidR="00556604" w:rsidRPr="001F54F5" w:rsidRDefault="00556604" w:rsidP="005566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4F5">
        <w:rPr>
          <w:rFonts w:ascii="Times New Roman" w:hAnsi="Times New Roman" w:cs="Times New Roman"/>
          <w:b/>
          <w:bCs/>
          <w:sz w:val="24"/>
          <w:szCs w:val="24"/>
        </w:rPr>
        <w:t>ASSESSORIA JURÍDICA</w:t>
      </w:r>
    </w:p>
    <w:p w14:paraId="7708E5E0" w14:textId="77777777" w:rsidR="00556604" w:rsidRPr="001F54F5" w:rsidRDefault="00556604" w:rsidP="005566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4F5">
        <w:rPr>
          <w:rFonts w:ascii="Times New Roman" w:hAnsi="Times New Roman" w:cs="Times New Roman"/>
          <w:b/>
          <w:bCs/>
          <w:sz w:val="24"/>
          <w:szCs w:val="24"/>
        </w:rPr>
        <w:t xml:space="preserve">PARECER JURÍDICO </w:t>
      </w:r>
    </w:p>
    <w:p w14:paraId="2B67CAF9" w14:textId="77777777" w:rsidR="00556604" w:rsidRPr="001F54F5" w:rsidRDefault="00556604" w:rsidP="00A12F0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F54F5">
        <w:rPr>
          <w:rFonts w:ascii="Times New Roman" w:hAnsi="Times New Roman" w:cs="Times New Roman"/>
          <w:b/>
          <w:bCs/>
          <w:sz w:val="24"/>
          <w:szCs w:val="24"/>
        </w:rPr>
        <w:t>ASSUNTO: AN</w:t>
      </w:r>
      <w:r w:rsidR="002B0F3A" w:rsidRPr="001F54F5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1F54F5">
        <w:rPr>
          <w:rFonts w:ascii="Times New Roman" w:hAnsi="Times New Roman" w:cs="Times New Roman"/>
          <w:b/>
          <w:bCs/>
          <w:sz w:val="24"/>
          <w:szCs w:val="24"/>
        </w:rPr>
        <w:t>LISE DE POSSIBILIDADE DE DISPENSA DE LICITAÇÃO.</w:t>
      </w:r>
    </w:p>
    <w:p w14:paraId="47E26B07" w14:textId="77777777" w:rsidR="00A12F02" w:rsidRPr="00901957" w:rsidRDefault="00A12F02" w:rsidP="00A12F0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745E4E9" w14:textId="2894C025" w:rsidR="00C21973" w:rsidRPr="00901957" w:rsidRDefault="00556604" w:rsidP="001F54F5">
      <w:pPr>
        <w:ind w:left="3119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 xml:space="preserve">Trata-se de solicitação da Secretaria Municipal de </w:t>
      </w:r>
      <w:r w:rsidR="00CA1106">
        <w:rPr>
          <w:rFonts w:ascii="Times New Roman" w:hAnsi="Times New Roman" w:cs="Times New Roman"/>
          <w:sz w:val="24"/>
          <w:szCs w:val="24"/>
        </w:rPr>
        <w:t>Saúde e Assistência Social</w:t>
      </w:r>
      <w:r w:rsidRPr="00901957">
        <w:rPr>
          <w:rFonts w:ascii="Times New Roman" w:hAnsi="Times New Roman" w:cs="Times New Roman"/>
          <w:sz w:val="24"/>
          <w:szCs w:val="24"/>
        </w:rPr>
        <w:t xml:space="preserve"> </w:t>
      </w:r>
      <w:r w:rsidR="00A12F02">
        <w:rPr>
          <w:rFonts w:ascii="Times New Roman" w:hAnsi="Times New Roman" w:cs="Times New Roman"/>
          <w:sz w:val="24"/>
          <w:szCs w:val="24"/>
        </w:rPr>
        <w:t>visando</w:t>
      </w:r>
      <w:r w:rsidRPr="00901957">
        <w:rPr>
          <w:rFonts w:ascii="Times New Roman" w:hAnsi="Times New Roman" w:cs="Times New Roman"/>
          <w:sz w:val="24"/>
          <w:szCs w:val="24"/>
        </w:rPr>
        <w:t xml:space="preserve"> </w:t>
      </w:r>
      <w:r w:rsidR="00A12F02">
        <w:rPr>
          <w:rFonts w:ascii="Times New Roman" w:hAnsi="Times New Roman" w:cs="Times New Roman"/>
          <w:sz w:val="24"/>
          <w:szCs w:val="24"/>
        </w:rPr>
        <w:t xml:space="preserve">a </w:t>
      </w:r>
      <w:r w:rsidR="00CA1106">
        <w:rPr>
          <w:rFonts w:ascii="Times New Roman" w:hAnsi="Times New Roman" w:cs="Times New Roman"/>
          <w:sz w:val="24"/>
          <w:szCs w:val="24"/>
        </w:rPr>
        <w:t>aquisição de uma central telefônica para a Unidade de Saúde do Centro,</w:t>
      </w:r>
      <w:r w:rsidR="009F6DF7" w:rsidRPr="009F6DF7">
        <w:rPr>
          <w:rFonts w:ascii="Times New Roman" w:hAnsi="Times New Roman" w:cs="Times New Roman"/>
          <w:sz w:val="24"/>
          <w:szCs w:val="24"/>
        </w:rPr>
        <w:t xml:space="preserve"> </w:t>
      </w:r>
      <w:r w:rsidR="00CA1106">
        <w:rPr>
          <w:rFonts w:ascii="Times New Roman" w:hAnsi="Times New Roman" w:cs="Times New Roman"/>
          <w:sz w:val="24"/>
          <w:szCs w:val="24"/>
        </w:rPr>
        <w:t>pois a existente no local queimou em decorrência de descarga elétrica ocasionada por trovoadas</w:t>
      </w:r>
      <w:r w:rsidR="00A12F02">
        <w:rPr>
          <w:rFonts w:ascii="Times New Roman" w:hAnsi="Times New Roman" w:cs="Times New Roman"/>
          <w:sz w:val="24"/>
          <w:szCs w:val="24"/>
        </w:rPr>
        <w:t>,</w:t>
      </w:r>
      <w:r w:rsidR="00CA1106">
        <w:rPr>
          <w:rFonts w:ascii="Times New Roman" w:hAnsi="Times New Roman" w:cs="Times New Roman"/>
          <w:sz w:val="24"/>
          <w:szCs w:val="24"/>
        </w:rPr>
        <w:t xml:space="preserve"> e conforme constatação técnica, recomenda-se a aquisição de um equipamento novo</w:t>
      </w:r>
      <w:bookmarkStart w:id="0" w:name="_Hlk8741865"/>
      <w:r w:rsidR="00CA1106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F6B9CE7" w14:textId="77777777" w:rsidR="00C21973" w:rsidRPr="00901957" w:rsidRDefault="00C21973" w:rsidP="00556604">
      <w:pPr>
        <w:rPr>
          <w:rFonts w:ascii="Times New Roman" w:hAnsi="Times New Roman" w:cs="Times New Roman"/>
          <w:sz w:val="24"/>
          <w:szCs w:val="24"/>
        </w:rPr>
      </w:pPr>
    </w:p>
    <w:p w14:paraId="3E6F3717" w14:textId="77777777" w:rsidR="00556604" w:rsidRPr="002B0F3A" w:rsidRDefault="00556604" w:rsidP="00CA1106">
      <w:pPr>
        <w:ind w:firstLine="1134"/>
        <w:rPr>
          <w:rFonts w:ascii="Times New Roman" w:hAnsi="Times New Roman" w:cs="Times New Roman"/>
          <w:sz w:val="24"/>
          <w:szCs w:val="24"/>
          <w:u w:val="single"/>
        </w:rPr>
      </w:pPr>
      <w:r w:rsidRPr="002B0F3A">
        <w:rPr>
          <w:rFonts w:ascii="Times New Roman" w:hAnsi="Times New Roman" w:cs="Times New Roman"/>
          <w:sz w:val="24"/>
          <w:szCs w:val="24"/>
          <w:u w:val="single"/>
        </w:rPr>
        <w:t>PARECER</w:t>
      </w:r>
    </w:p>
    <w:p w14:paraId="4BA139C8" w14:textId="77777777" w:rsidR="00901957" w:rsidRPr="00901957" w:rsidRDefault="00556604" w:rsidP="00CA1106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É notório que a realização de Licitação é regra e a não-licitação é exceção, sendo que as</w:t>
      </w:r>
      <w:r w:rsidR="00C21973" w:rsidRP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exceções são os casos previstos na Lei nº8.666/93 de Dispensa e de Inexigibilidade.</w:t>
      </w:r>
      <w:r w:rsidR="00901957" w:rsidRP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A licitação pode ser dispensada quando a conveniência administrativa, aliada ao</w:t>
      </w:r>
      <w:r w:rsidR="00C21973" w:rsidRP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interesse público específico são enquadráveis nas previsões do art. 24 da Lei nº8.666/93.</w:t>
      </w:r>
      <w:r w:rsidR="00901957" w:rsidRPr="00901957">
        <w:rPr>
          <w:rFonts w:ascii="Times New Roman" w:hAnsi="Times New Roman" w:cs="Times New Roman"/>
          <w:sz w:val="24"/>
          <w:szCs w:val="24"/>
        </w:rPr>
        <w:t xml:space="preserve"> Aduz</w:t>
      </w:r>
      <w:r w:rsidRPr="00901957">
        <w:rPr>
          <w:rFonts w:ascii="Times New Roman" w:hAnsi="Times New Roman" w:cs="Times New Roman"/>
          <w:sz w:val="24"/>
          <w:szCs w:val="24"/>
        </w:rPr>
        <w:t xml:space="preserve"> o art. 24, inciso IV da Lei nº8.666/93:</w:t>
      </w:r>
      <w:r w:rsidR="00901957" w:rsidRPr="00901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291FD" w14:textId="1C1063DC" w:rsidR="00556604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“nos casos de emergência ou de calamidade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pública, quando caracterizada urgência de atendimentos de situação que possa ocasionar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prejuízo ou comprometer a segurança de pessoas, obras e serviços, equipamentos e ou outros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bens, públicos e particulares e somente para bens necessários ao atendimento da situação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emergencial ou calamitosa e para as parcelas de obras e serviços que possam ser concluídas no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prazo máximo de 180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(cento e oitenta) dias consecutivos e ininterruptos, contados da ocorrência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da emergência ou calamidade, vedada a prorrogação dos respectivos contratos</w:t>
      </w:r>
      <w:r w:rsidR="00901957" w:rsidRPr="00901957">
        <w:rPr>
          <w:rFonts w:ascii="Times New Roman" w:hAnsi="Times New Roman" w:cs="Times New Roman"/>
          <w:i/>
        </w:rPr>
        <w:t>.”</w:t>
      </w:r>
    </w:p>
    <w:p w14:paraId="3BD3C205" w14:textId="77777777" w:rsidR="00CA1106" w:rsidRPr="00901957" w:rsidRDefault="00CA1106" w:rsidP="00A12F02">
      <w:pPr>
        <w:ind w:left="851"/>
        <w:rPr>
          <w:rFonts w:ascii="Times New Roman" w:hAnsi="Times New Roman" w:cs="Times New Roman"/>
          <w:i/>
        </w:rPr>
      </w:pPr>
    </w:p>
    <w:p w14:paraId="461752B4" w14:textId="77777777" w:rsidR="00556604" w:rsidRPr="00901957" w:rsidRDefault="00556604" w:rsidP="00A12F0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Considera-se como situação emergencial, asseguradora da regular dispensa de licitação,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aquela que precisa ser atendida com urgência, objetivando a não ocorrência de prejuízos, não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sendo comprovada a desídia do Administrador ou falta de planejamento. Já por calamidade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pública, entendam-se aquelas desgraças que atingem, de repente, grande número de cidadãos,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como, por exemplo, podemos citar a seca, as inundações, enxurradas, desabamentos, peste,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guerra, incêndio, terremoto, vendaval.</w:t>
      </w:r>
    </w:p>
    <w:p w14:paraId="07CC9B4A" w14:textId="77777777" w:rsidR="00556604" w:rsidRPr="00901957" w:rsidRDefault="00556604" w:rsidP="00A12F0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O ínclito Jessé Torres Pereira Júnior, ao comentar o referido dispositivo, cujo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entendimento é compartilhado pela doutrina dominante, afirma que:</w:t>
      </w:r>
    </w:p>
    <w:p w14:paraId="4F6E0C78" w14:textId="77777777" w:rsidR="00556604" w:rsidRPr="00901957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“Já na vigência da Lei nº 8.666/93, o Tribunal de Contas da União definiu que: ´além da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adoção das formalidades previstas no art. 26 e seu parágrafo único da nº Lei nº 8.666/93,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lastRenderedPageBreak/>
        <w:t>são pressupostos da aplicação do caso de dispensa preconizados no art. 24, inciso IV, da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mesma lei:</w:t>
      </w:r>
    </w:p>
    <w:p w14:paraId="4BE14656" w14:textId="77777777" w:rsidR="00556604" w:rsidRPr="00901957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a.1) que a situação adversa, dada como de emergência ou de calamidade pública, não se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tenha originado, total ou parcialmente da falta de planejamento, da desídia administrativa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ou da má gestão dos recursos disponíveis, ou seja, que ela não possa, em alguma medida,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ser atribuída à culpa ou dolo do agente público que tinha o dever de agir para prevenir 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ocorrência de tal situação;</w:t>
      </w:r>
    </w:p>
    <w:p w14:paraId="1C543CEB" w14:textId="77777777" w:rsidR="00556604" w:rsidRPr="00901957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a.2) que exista urgência concreta e efetiva do atendimento a situação decorrente do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estado emergencial ou calamitoso, visando afastar risco de danos a bens ou à saúde ou à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vida das pessoas;</w:t>
      </w:r>
    </w:p>
    <w:p w14:paraId="66B1B785" w14:textId="77777777" w:rsidR="00556604" w:rsidRPr="00901957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a.3) que o risco, além de concreto e efetivamente provável, se mostre iminente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especialmente gravoso;</w:t>
      </w:r>
    </w:p>
    <w:p w14:paraId="4ADA5357" w14:textId="45C6FE27" w:rsidR="00901957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a.4) que a imediata efetivação, por meio de contratação com terceiro, de determinadas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obras, serviços ou compras, segundo as especificações e quantitativos tecnicamente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apurados, seja o meio adequado, efetivo e eficiente de afastar o risco iminente detectado</w:t>
      </w:r>
      <w:r w:rsidR="00901957" w:rsidRPr="00901957">
        <w:rPr>
          <w:rFonts w:ascii="Times New Roman" w:hAnsi="Times New Roman" w:cs="Times New Roman"/>
          <w:i/>
        </w:rPr>
        <w:t>.”</w:t>
      </w:r>
    </w:p>
    <w:p w14:paraId="7E10EAD1" w14:textId="77777777" w:rsidR="00CA1106" w:rsidRPr="00A12F02" w:rsidRDefault="00CA1106" w:rsidP="00A12F02">
      <w:pPr>
        <w:ind w:left="851"/>
        <w:rPr>
          <w:rFonts w:ascii="Times New Roman" w:hAnsi="Times New Roman" w:cs="Times New Roman"/>
          <w:i/>
        </w:rPr>
      </w:pPr>
    </w:p>
    <w:p w14:paraId="34BC0B45" w14:textId="77777777" w:rsidR="00556604" w:rsidRPr="00901957" w:rsidRDefault="00556604" w:rsidP="00A12F0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 xml:space="preserve">Consoante o </w:t>
      </w:r>
      <w:r w:rsidR="00901957">
        <w:rPr>
          <w:rFonts w:ascii="Times New Roman" w:hAnsi="Times New Roman" w:cs="Times New Roman"/>
          <w:sz w:val="24"/>
          <w:szCs w:val="24"/>
        </w:rPr>
        <w:t xml:space="preserve">renomado </w:t>
      </w:r>
      <w:r w:rsidRPr="00901957">
        <w:rPr>
          <w:rFonts w:ascii="Times New Roman" w:hAnsi="Times New Roman" w:cs="Times New Roman"/>
          <w:sz w:val="24"/>
          <w:szCs w:val="24"/>
        </w:rPr>
        <w:t xml:space="preserve">Professor Marçal </w:t>
      </w:r>
      <w:proofErr w:type="spellStart"/>
      <w:r w:rsidRPr="00901957">
        <w:rPr>
          <w:rFonts w:ascii="Times New Roman" w:hAnsi="Times New Roman" w:cs="Times New Roman"/>
          <w:sz w:val="24"/>
          <w:szCs w:val="24"/>
        </w:rPr>
        <w:t>Justen</w:t>
      </w:r>
      <w:proofErr w:type="spellEnd"/>
      <w:r w:rsidRPr="00901957">
        <w:rPr>
          <w:rFonts w:ascii="Times New Roman" w:hAnsi="Times New Roman" w:cs="Times New Roman"/>
          <w:sz w:val="24"/>
          <w:szCs w:val="24"/>
        </w:rPr>
        <w:t xml:space="preserve"> Filho, para a caracterização dessa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hipótese de dispensa de licitação é necessário o preenchimento de dois requisitos, quais sejam,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a demonstração concreta e efetiva da potencialidade do dano e a demonstração de que a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contratação é a via adequada e efetiva para eliminar o risco.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O Tribunal de Contas da União tem mantido o posicionamento de que é cabível a</w:t>
      </w:r>
      <w:r w:rsidR="00901957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dispensa de licitação:</w:t>
      </w:r>
    </w:p>
    <w:p w14:paraId="2D0927AA" w14:textId="77777777" w:rsidR="00556604" w:rsidRPr="00901957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Dispensa – emergência</w:t>
      </w:r>
    </w:p>
    <w:p w14:paraId="5343772E" w14:textId="77777777" w:rsidR="00556604" w:rsidRPr="00901957" w:rsidRDefault="00556604" w:rsidP="00A12F02">
      <w:pPr>
        <w:ind w:left="851"/>
        <w:rPr>
          <w:rFonts w:ascii="Times New Roman" w:hAnsi="Times New Roman" w:cs="Times New Roman"/>
          <w:i/>
        </w:rPr>
      </w:pPr>
      <w:r w:rsidRPr="00901957">
        <w:rPr>
          <w:rFonts w:ascii="Times New Roman" w:hAnsi="Times New Roman" w:cs="Times New Roman"/>
          <w:i/>
        </w:rPr>
        <w:t>TCU decidiu: “a urgência de atendimento para a dispensa de licitação é aquela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qualificada pelo risco da ocorrência de prejuízo ou comprometimento da segurança de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pessoas, obras e serviços, equipamentos ou outros bens públicos e particulares, caso as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medidas requeridas não sejam adotadas de pronto.”</w:t>
      </w:r>
      <w:r w:rsidR="0061431F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(Fonte: TCU. Processo nº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009.248/94-3. Decisão nº347/1994 – Plenário e TCU - Processo nº 500.296/96-0.</w:t>
      </w:r>
      <w:r w:rsidR="00901957" w:rsidRPr="00901957">
        <w:rPr>
          <w:rFonts w:ascii="Times New Roman" w:hAnsi="Times New Roman" w:cs="Times New Roman"/>
          <w:i/>
        </w:rPr>
        <w:t xml:space="preserve"> </w:t>
      </w:r>
      <w:r w:rsidRPr="00901957">
        <w:rPr>
          <w:rFonts w:ascii="Times New Roman" w:hAnsi="Times New Roman" w:cs="Times New Roman"/>
          <w:i/>
        </w:rPr>
        <w:t>Decisão nº 820/1996- Plenário)</w:t>
      </w:r>
      <w:r w:rsidR="00901957" w:rsidRPr="00901957">
        <w:rPr>
          <w:rFonts w:ascii="Times New Roman" w:hAnsi="Times New Roman" w:cs="Times New Roman"/>
          <w:i/>
        </w:rPr>
        <w:t>.”</w:t>
      </w:r>
    </w:p>
    <w:p w14:paraId="5E3FF20E" w14:textId="77777777" w:rsidR="00556604" w:rsidRPr="0061431F" w:rsidRDefault="00556604" w:rsidP="00A12F02">
      <w:pPr>
        <w:ind w:left="851"/>
        <w:rPr>
          <w:rFonts w:ascii="Times New Roman" w:hAnsi="Times New Roman" w:cs="Times New Roman"/>
          <w:i/>
        </w:rPr>
      </w:pPr>
      <w:r w:rsidRPr="0061431F">
        <w:rPr>
          <w:rFonts w:ascii="Times New Roman" w:hAnsi="Times New Roman" w:cs="Times New Roman"/>
          <w:i/>
        </w:rPr>
        <w:t>“Emergência – calamidade pública</w:t>
      </w:r>
    </w:p>
    <w:p w14:paraId="5635F4D3" w14:textId="77777777" w:rsidR="0061431F" w:rsidRPr="002B0F3A" w:rsidRDefault="00556604" w:rsidP="002B0F3A">
      <w:pPr>
        <w:ind w:left="851"/>
        <w:rPr>
          <w:rFonts w:ascii="Times New Roman" w:hAnsi="Times New Roman" w:cs="Times New Roman"/>
          <w:i/>
        </w:rPr>
      </w:pPr>
      <w:r w:rsidRPr="0061431F">
        <w:rPr>
          <w:rFonts w:ascii="Times New Roman" w:hAnsi="Times New Roman" w:cs="Times New Roman"/>
          <w:i/>
        </w:rPr>
        <w:t xml:space="preserve">Nota : o TCU decidiu em resposta </w:t>
      </w:r>
      <w:proofErr w:type="spellStart"/>
      <w:r w:rsidRPr="0061431F">
        <w:rPr>
          <w:rFonts w:ascii="Times New Roman" w:hAnsi="Times New Roman" w:cs="Times New Roman"/>
          <w:i/>
        </w:rPr>
        <w:t>a</w:t>
      </w:r>
      <w:proofErr w:type="spellEnd"/>
      <w:r w:rsidRPr="0061431F">
        <w:rPr>
          <w:rFonts w:ascii="Times New Roman" w:hAnsi="Times New Roman" w:cs="Times New Roman"/>
          <w:i/>
        </w:rPr>
        <w:t xml:space="preserve"> consulta, que é dispensável a licitação no caso de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calamidade pública desde que observados os artigos 24, IV, e 26 da Lei nº8.666/93,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bem como os pressupostos estabelecidos em caráter normativo na Decisão nº 347/94 e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ainda, a observância do Decreto federal nº895/93, justificativa da escolha do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fornecedor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(capacidade técnica).</w:t>
      </w:r>
      <w:r w:rsidR="0061431F" w:rsidRPr="0061431F">
        <w:rPr>
          <w:rFonts w:ascii="Times New Roman" w:hAnsi="Times New Roman" w:cs="Times New Roman"/>
          <w:i/>
        </w:rPr>
        <w:t xml:space="preserve"> </w:t>
      </w:r>
      <w:r w:rsidRPr="0061431F">
        <w:rPr>
          <w:rFonts w:ascii="Times New Roman" w:hAnsi="Times New Roman" w:cs="Times New Roman"/>
          <w:i/>
        </w:rPr>
        <w:t>Fonte: TCU. Processo nº929.114/98-1. Decisão nº 627/1999 – Plenário</w:t>
      </w:r>
      <w:r w:rsidR="0061431F" w:rsidRPr="0061431F">
        <w:rPr>
          <w:rFonts w:ascii="Times New Roman" w:hAnsi="Times New Roman" w:cs="Times New Roman"/>
          <w:i/>
        </w:rPr>
        <w:t>”.</w:t>
      </w:r>
    </w:p>
    <w:p w14:paraId="6EFE3883" w14:textId="77777777" w:rsidR="00E370B2" w:rsidRDefault="00556604" w:rsidP="00A12F0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>Assim, o Estatuto de Licitações permite, como ressalva à obrigação de licitar, a</w:t>
      </w:r>
      <w:r w:rsidR="0061431F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contratação direta, através de processos de dispensa e inexigibilidade de licitação, desde</w:t>
      </w:r>
      <w:r w:rsidR="0061431F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que</w:t>
      </w:r>
      <w:r w:rsidR="0061431F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preenchidos os requisitos previstos na lei.</w:t>
      </w:r>
      <w:r w:rsidR="00614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AEF14" w14:textId="03400131" w:rsidR="00A12F02" w:rsidRDefault="00556604" w:rsidP="00A12F0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lastRenderedPageBreak/>
        <w:t xml:space="preserve">No caso em </w:t>
      </w:r>
      <w:r w:rsidR="0061431F">
        <w:rPr>
          <w:rFonts w:ascii="Times New Roman" w:hAnsi="Times New Roman" w:cs="Times New Roman"/>
          <w:sz w:val="24"/>
          <w:szCs w:val="24"/>
        </w:rPr>
        <w:t>comento</w:t>
      </w:r>
      <w:r w:rsidRPr="00901957">
        <w:rPr>
          <w:rFonts w:ascii="Times New Roman" w:hAnsi="Times New Roman" w:cs="Times New Roman"/>
          <w:sz w:val="24"/>
          <w:szCs w:val="24"/>
        </w:rPr>
        <w:t xml:space="preserve">, a situação de emergência está plenamente comprovada, uma vez que </w:t>
      </w:r>
      <w:r w:rsidR="00E370B2">
        <w:rPr>
          <w:rFonts w:ascii="Times New Roman" w:hAnsi="Times New Roman" w:cs="Times New Roman"/>
          <w:sz w:val="24"/>
          <w:szCs w:val="24"/>
        </w:rPr>
        <w:t>está clara a</w:t>
      </w:r>
      <w:r w:rsidR="00E370B2" w:rsidRPr="00E370B2">
        <w:rPr>
          <w:rFonts w:ascii="Times New Roman" w:hAnsi="Times New Roman" w:cs="Times New Roman"/>
          <w:sz w:val="24"/>
          <w:szCs w:val="24"/>
        </w:rPr>
        <w:t xml:space="preserve"> necessidade de celeridade na </w:t>
      </w:r>
      <w:r w:rsidR="00CA1106">
        <w:rPr>
          <w:rFonts w:ascii="Times New Roman" w:hAnsi="Times New Roman" w:cs="Times New Roman"/>
          <w:sz w:val="24"/>
          <w:szCs w:val="24"/>
        </w:rPr>
        <w:t>aquisição de uma nova central telefônica</w:t>
      </w:r>
      <w:r w:rsidR="00E370B2" w:rsidRPr="00E370B2">
        <w:rPr>
          <w:rFonts w:ascii="Times New Roman" w:hAnsi="Times New Roman" w:cs="Times New Roman"/>
          <w:sz w:val="24"/>
          <w:szCs w:val="24"/>
        </w:rPr>
        <w:t xml:space="preserve">, </w:t>
      </w:r>
      <w:r w:rsidR="00E370B2">
        <w:rPr>
          <w:rFonts w:ascii="Times New Roman" w:hAnsi="Times New Roman" w:cs="Times New Roman"/>
          <w:sz w:val="24"/>
          <w:szCs w:val="24"/>
        </w:rPr>
        <w:t>visto</w:t>
      </w:r>
      <w:r w:rsidR="00E370B2" w:rsidRPr="00E370B2">
        <w:rPr>
          <w:rFonts w:ascii="Times New Roman" w:hAnsi="Times New Roman" w:cs="Times New Roman"/>
          <w:sz w:val="24"/>
          <w:szCs w:val="24"/>
        </w:rPr>
        <w:t xml:space="preserve"> </w:t>
      </w:r>
      <w:r w:rsidR="001A67B2">
        <w:rPr>
          <w:rFonts w:ascii="Times New Roman" w:hAnsi="Times New Roman" w:cs="Times New Roman"/>
          <w:sz w:val="24"/>
          <w:szCs w:val="24"/>
        </w:rPr>
        <w:t xml:space="preserve">que não é razoável que </w:t>
      </w:r>
      <w:r w:rsidR="00CA1106">
        <w:rPr>
          <w:rFonts w:ascii="Times New Roman" w:hAnsi="Times New Roman" w:cs="Times New Roman"/>
          <w:sz w:val="24"/>
          <w:szCs w:val="24"/>
        </w:rPr>
        <w:t>os munícipes sejam privados de comunicação com a Unidade Básica de Saúde</w:t>
      </w:r>
      <w:r w:rsidR="00CC6033">
        <w:rPr>
          <w:rFonts w:ascii="Times New Roman" w:hAnsi="Times New Roman" w:cs="Times New Roman"/>
          <w:sz w:val="24"/>
          <w:szCs w:val="24"/>
        </w:rPr>
        <w:t>. É</w:t>
      </w:r>
      <w:r w:rsidR="00CA1106">
        <w:rPr>
          <w:rFonts w:ascii="Times New Roman" w:hAnsi="Times New Roman" w:cs="Times New Roman"/>
          <w:sz w:val="24"/>
          <w:szCs w:val="24"/>
        </w:rPr>
        <w:t xml:space="preserve"> por telefone que são agenda</w:t>
      </w:r>
      <w:r w:rsidR="00CC6033">
        <w:rPr>
          <w:rFonts w:ascii="Times New Roman" w:hAnsi="Times New Roman" w:cs="Times New Roman"/>
          <w:sz w:val="24"/>
          <w:szCs w:val="24"/>
        </w:rPr>
        <w:t>da</w:t>
      </w:r>
      <w:r w:rsidR="00CA1106">
        <w:rPr>
          <w:rFonts w:ascii="Times New Roman" w:hAnsi="Times New Roman" w:cs="Times New Roman"/>
          <w:sz w:val="24"/>
          <w:szCs w:val="24"/>
        </w:rPr>
        <w:t xml:space="preserve">s </w:t>
      </w:r>
      <w:r w:rsidR="00CC6033">
        <w:rPr>
          <w:rFonts w:ascii="Times New Roman" w:hAnsi="Times New Roman" w:cs="Times New Roman"/>
          <w:sz w:val="24"/>
          <w:szCs w:val="24"/>
        </w:rPr>
        <w:t xml:space="preserve">diversas </w:t>
      </w:r>
      <w:r w:rsidR="00CA1106">
        <w:rPr>
          <w:rFonts w:ascii="Times New Roman" w:hAnsi="Times New Roman" w:cs="Times New Roman"/>
          <w:sz w:val="24"/>
          <w:szCs w:val="24"/>
        </w:rPr>
        <w:t xml:space="preserve">consultas, exames, atendimentos e, acima de tudo, chamadas de emergência. Importante ressaltar também que é por meio telefônico que os </w:t>
      </w:r>
      <w:r w:rsidR="0069667F">
        <w:rPr>
          <w:rFonts w:ascii="Times New Roman" w:hAnsi="Times New Roman" w:cs="Times New Roman"/>
          <w:sz w:val="24"/>
          <w:szCs w:val="24"/>
        </w:rPr>
        <w:t>servidores</w:t>
      </w:r>
      <w:r w:rsidR="00CA1106">
        <w:rPr>
          <w:rFonts w:ascii="Times New Roman" w:hAnsi="Times New Roman" w:cs="Times New Roman"/>
          <w:sz w:val="24"/>
          <w:szCs w:val="24"/>
        </w:rPr>
        <w:t xml:space="preserve"> da fazem contato com clínicas, hospitais e afins, essenciais para o funcionamento</w:t>
      </w:r>
      <w:r w:rsidR="0069667F">
        <w:rPr>
          <w:rFonts w:ascii="Times New Roman" w:hAnsi="Times New Roman" w:cs="Times New Roman"/>
          <w:sz w:val="24"/>
          <w:szCs w:val="24"/>
        </w:rPr>
        <w:t xml:space="preserve"> adequado da Unidade.</w:t>
      </w:r>
    </w:p>
    <w:p w14:paraId="245AAA3A" w14:textId="3DC22FDB" w:rsidR="0069667F" w:rsidRDefault="0069667F" w:rsidP="001F54F5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resta evidente a </w:t>
      </w:r>
      <w:r w:rsidR="001F54F5">
        <w:rPr>
          <w:rFonts w:ascii="Times New Roman" w:hAnsi="Times New Roman" w:cs="Times New Roman"/>
          <w:sz w:val="24"/>
          <w:szCs w:val="24"/>
        </w:rPr>
        <w:t>inviabilidade</w:t>
      </w:r>
      <w:r>
        <w:rPr>
          <w:rFonts w:ascii="Times New Roman" w:hAnsi="Times New Roman" w:cs="Times New Roman"/>
          <w:sz w:val="24"/>
          <w:szCs w:val="24"/>
        </w:rPr>
        <w:t xml:space="preserve"> da Administração e dos munícipes aguardarem o desenrolar de um Processo Licitatório para a aquisição de uma Central Telefônica, sujeitando a população a um atendimento precário, ou mesmo impossibilitando a oferta dos serviços da saúde, em afronta direta a direito constitucional. </w:t>
      </w:r>
      <w:r w:rsidR="001F54F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al conduta, caso praticada, expor inúmeros munícipes a complicações em problemas de saúde ou até mesmo a risco de morte, situação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033">
        <w:rPr>
          <w:rFonts w:ascii="Times New Roman" w:hAnsi="Times New Roman" w:cs="Times New Roman"/>
          <w:sz w:val="24"/>
          <w:szCs w:val="24"/>
        </w:rPr>
        <w:t>injustificável e sem amparo jurídico.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D65E5" w14:textId="761DA91F" w:rsidR="00556604" w:rsidRDefault="00556604" w:rsidP="001F54F5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901957">
        <w:rPr>
          <w:rFonts w:ascii="Times New Roman" w:hAnsi="Times New Roman" w:cs="Times New Roman"/>
          <w:sz w:val="24"/>
          <w:szCs w:val="24"/>
        </w:rPr>
        <w:t xml:space="preserve">Assim, considerando que a contratação </w:t>
      </w:r>
      <w:r w:rsidR="001F54F5">
        <w:rPr>
          <w:rFonts w:ascii="Times New Roman" w:hAnsi="Times New Roman" w:cs="Times New Roman"/>
          <w:sz w:val="24"/>
          <w:szCs w:val="24"/>
        </w:rPr>
        <w:t>aquisição do produto</w:t>
      </w:r>
      <w:r w:rsidRPr="00901957">
        <w:rPr>
          <w:rFonts w:ascii="Times New Roman" w:hAnsi="Times New Roman" w:cs="Times New Roman"/>
          <w:sz w:val="24"/>
          <w:szCs w:val="24"/>
        </w:rPr>
        <w:t xml:space="preserve"> se enquadra nas hipóteses do art. 24, inciso IV da Lei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>nº</w:t>
      </w:r>
      <w:r w:rsidR="00E370B2">
        <w:rPr>
          <w:rFonts w:ascii="Times New Roman" w:hAnsi="Times New Roman" w:cs="Times New Roman"/>
          <w:sz w:val="24"/>
          <w:szCs w:val="24"/>
        </w:rPr>
        <w:t xml:space="preserve"> </w:t>
      </w:r>
      <w:r w:rsidRPr="00901957">
        <w:rPr>
          <w:rFonts w:ascii="Times New Roman" w:hAnsi="Times New Roman" w:cs="Times New Roman"/>
          <w:sz w:val="24"/>
          <w:szCs w:val="24"/>
        </w:rPr>
        <w:t xml:space="preserve">8.666/93, </w:t>
      </w:r>
      <w:r w:rsidR="00CC6033">
        <w:rPr>
          <w:rFonts w:ascii="Times New Roman" w:hAnsi="Times New Roman" w:cs="Times New Roman"/>
          <w:sz w:val="24"/>
          <w:szCs w:val="24"/>
          <w:u w:val="single"/>
        </w:rPr>
        <w:t xml:space="preserve">entendo haver respaldo, e até mesmo exigência legal para a </w:t>
      </w:r>
      <w:r w:rsidR="001F54F5">
        <w:rPr>
          <w:rFonts w:ascii="Times New Roman" w:hAnsi="Times New Roman" w:cs="Times New Roman"/>
          <w:sz w:val="24"/>
          <w:szCs w:val="24"/>
          <w:u w:val="single"/>
        </w:rPr>
        <w:t>compra</w:t>
      </w:r>
      <w:r w:rsidR="00CC6033">
        <w:rPr>
          <w:rFonts w:ascii="Times New Roman" w:hAnsi="Times New Roman" w:cs="Times New Roman"/>
          <w:sz w:val="24"/>
          <w:szCs w:val="24"/>
          <w:u w:val="single"/>
        </w:rPr>
        <w:t xml:space="preserve"> em análise por dispensa de licitação</w:t>
      </w:r>
      <w:r w:rsidR="00A12F02">
        <w:rPr>
          <w:rFonts w:ascii="Times New Roman" w:hAnsi="Times New Roman" w:cs="Times New Roman"/>
          <w:sz w:val="24"/>
          <w:szCs w:val="24"/>
        </w:rPr>
        <w:t>, que deverá ocorrer dentro dos preceitos legais, adotando todos os procedimentos de praxe para o feito</w:t>
      </w:r>
      <w:r w:rsidRPr="00901957">
        <w:rPr>
          <w:rFonts w:ascii="Times New Roman" w:hAnsi="Times New Roman" w:cs="Times New Roman"/>
          <w:sz w:val="24"/>
          <w:szCs w:val="24"/>
        </w:rPr>
        <w:t>.</w:t>
      </w:r>
    </w:p>
    <w:p w14:paraId="5C929CA9" w14:textId="4D640B1F" w:rsidR="000247F1" w:rsidRPr="000247F1" w:rsidRDefault="00CC6033" w:rsidP="001F54F5">
      <w:pPr>
        <w:ind w:firstLine="1134"/>
        <w:rPr>
          <w:rFonts w:ascii="Times New Roman" w:hAnsi="Times New Roman" w:cs="Times New Roman"/>
          <w:sz w:val="24"/>
          <w:szCs w:val="24"/>
          <w:u w:val="single"/>
        </w:rPr>
      </w:pPr>
      <w:r w:rsidRPr="00CC6033">
        <w:rPr>
          <w:rFonts w:ascii="Times New Roman" w:hAnsi="Times New Roman" w:cs="Times New Roman"/>
          <w:sz w:val="24"/>
          <w:szCs w:val="24"/>
        </w:rPr>
        <w:t xml:space="preserve">Saliento, no entanto, que a Administração deverá justificar o preço da contratação pretendida, fazendo para tanto a comparação da proposta apresentada com preços praticados </w:t>
      </w:r>
      <w:r w:rsidR="001F54F5">
        <w:rPr>
          <w:rFonts w:ascii="Times New Roman" w:hAnsi="Times New Roman" w:cs="Times New Roman"/>
          <w:sz w:val="24"/>
          <w:szCs w:val="24"/>
        </w:rPr>
        <w:t>no mercado através de orçamentos</w:t>
      </w:r>
      <w:r w:rsidRPr="00CC6033">
        <w:rPr>
          <w:rFonts w:ascii="Times New Roman" w:hAnsi="Times New Roman" w:cs="Times New Roman"/>
          <w:sz w:val="24"/>
          <w:szCs w:val="24"/>
        </w:rPr>
        <w:t>, a fim de comprovar que foram observados os princípios da moralidade, economicidade, eficiência, e supremacia do interesse público.</w:t>
      </w:r>
    </w:p>
    <w:p w14:paraId="7F90EA50" w14:textId="77777777" w:rsidR="002B0F3A" w:rsidRDefault="00A12F02" w:rsidP="001F54F5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Parecer.</w:t>
      </w:r>
    </w:p>
    <w:p w14:paraId="6426E347" w14:textId="77777777" w:rsidR="003B418E" w:rsidRDefault="003B418E" w:rsidP="00A12F0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757A06FB" w14:textId="70639A90" w:rsidR="00A12F02" w:rsidRDefault="00A12F02" w:rsidP="00A12F0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 Pedrinho, </w:t>
      </w:r>
      <w:r w:rsidR="00583F40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B418E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14:paraId="656AB834" w14:textId="77777777" w:rsidR="002B0F3A" w:rsidRDefault="002B0F3A" w:rsidP="00A12F0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2E9F7B4" w14:textId="77777777" w:rsidR="003B418E" w:rsidRDefault="003B418E" w:rsidP="00A12F02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24D09739" w14:textId="77777777" w:rsidR="003B418E" w:rsidRDefault="003B418E" w:rsidP="003B418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9A32E93" w14:textId="77777777" w:rsidR="003B418E" w:rsidRDefault="003B418E" w:rsidP="001F54F5">
      <w:pPr>
        <w:rPr>
          <w:rFonts w:ascii="Times New Roman" w:hAnsi="Times New Roman" w:cs="Times New Roman"/>
          <w:sz w:val="24"/>
          <w:szCs w:val="24"/>
        </w:rPr>
      </w:pPr>
    </w:p>
    <w:p w14:paraId="0FB3F982" w14:textId="77777777" w:rsidR="003B418E" w:rsidRDefault="003B418E" w:rsidP="001F54F5">
      <w:pPr>
        <w:rPr>
          <w:rFonts w:ascii="Times New Roman" w:hAnsi="Times New Roman" w:cs="Times New Roman"/>
          <w:sz w:val="24"/>
          <w:szCs w:val="24"/>
        </w:rPr>
      </w:pPr>
    </w:p>
    <w:p w14:paraId="28B7C285" w14:textId="77777777" w:rsidR="002B0F3A" w:rsidRPr="002B0F3A" w:rsidRDefault="002B0F3A" w:rsidP="003B4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3A">
        <w:rPr>
          <w:rFonts w:ascii="Times New Roman" w:hAnsi="Times New Roman" w:cs="Times New Roman"/>
          <w:b/>
          <w:sz w:val="24"/>
          <w:szCs w:val="24"/>
        </w:rPr>
        <w:t>RONI ANDREAS MAEDA HASSLER</w:t>
      </w:r>
    </w:p>
    <w:p w14:paraId="2CAE2143" w14:textId="77777777" w:rsidR="000B5422" w:rsidRPr="00901957" w:rsidRDefault="002B0F3A" w:rsidP="003B41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 Jurídico OAB/SC 52.912</w:t>
      </w:r>
    </w:p>
    <w:sectPr w:rsidR="000B5422" w:rsidRPr="00901957" w:rsidSect="003B418E">
      <w:footerReference w:type="default" r:id="rId7"/>
      <w:pgSz w:w="11906" w:h="16838"/>
      <w:pgMar w:top="2410" w:right="991" w:bottom="1134" w:left="1985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5102F" w14:textId="77777777" w:rsidR="004F3065" w:rsidRDefault="004F3065" w:rsidP="001F54F5">
      <w:pPr>
        <w:spacing w:after="0" w:line="240" w:lineRule="auto"/>
      </w:pPr>
      <w:r>
        <w:separator/>
      </w:r>
    </w:p>
  </w:endnote>
  <w:endnote w:type="continuationSeparator" w:id="0">
    <w:p w14:paraId="1A5E11BF" w14:textId="77777777" w:rsidR="004F3065" w:rsidRDefault="004F3065" w:rsidP="001F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070011"/>
      <w:docPartObj>
        <w:docPartGallery w:val="Page Numbers (Bottom of Page)"/>
        <w:docPartUnique/>
      </w:docPartObj>
    </w:sdtPr>
    <w:sdtEndPr/>
    <w:sdtContent>
      <w:p w14:paraId="0AE00D3F" w14:textId="5FCAC3EF" w:rsidR="001F54F5" w:rsidRDefault="001F54F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F40">
          <w:rPr>
            <w:noProof/>
          </w:rPr>
          <w:t>2</w:t>
        </w:r>
        <w:r>
          <w:fldChar w:fldCharType="end"/>
        </w:r>
      </w:p>
    </w:sdtContent>
  </w:sdt>
  <w:p w14:paraId="1CBD044A" w14:textId="77777777" w:rsidR="001F54F5" w:rsidRDefault="001F54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82E61" w14:textId="77777777" w:rsidR="004F3065" w:rsidRDefault="004F3065" w:rsidP="001F54F5">
      <w:pPr>
        <w:spacing w:after="0" w:line="240" w:lineRule="auto"/>
      </w:pPr>
      <w:r>
        <w:separator/>
      </w:r>
    </w:p>
  </w:footnote>
  <w:footnote w:type="continuationSeparator" w:id="0">
    <w:p w14:paraId="6BAE9731" w14:textId="77777777" w:rsidR="004F3065" w:rsidRDefault="004F3065" w:rsidP="001F5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AB3"/>
    <w:multiLevelType w:val="multilevel"/>
    <w:tmpl w:val="5BE606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04"/>
    <w:rsid w:val="000247F1"/>
    <w:rsid w:val="000B5422"/>
    <w:rsid w:val="001A67B2"/>
    <w:rsid w:val="001F54F5"/>
    <w:rsid w:val="002B0F3A"/>
    <w:rsid w:val="003B418E"/>
    <w:rsid w:val="003C2DA7"/>
    <w:rsid w:val="00456396"/>
    <w:rsid w:val="004F3065"/>
    <w:rsid w:val="00556604"/>
    <w:rsid w:val="00583F40"/>
    <w:rsid w:val="0061431F"/>
    <w:rsid w:val="0069667F"/>
    <w:rsid w:val="007D307E"/>
    <w:rsid w:val="00901957"/>
    <w:rsid w:val="00940F67"/>
    <w:rsid w:val="009F6DF7"/>
    <w:rsid w:val="00A12F02"/>
    <w:rsid w:val="00C111CE"/>
    <w:rsid w:val="00C21973"/>
    <w:rsid w:val="00CA1106"/>
    <w:rsid w:val="00CC6033"/>
    <w:rsid w:val="00E3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5165D"/>
  <w15:chartTrackingRefBased/>
  <w15:docId w15:val="{AE16B053-71A1-45B0-8974-DDDB747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67"/>
    <w:pPr>
      <w:spacing w:after="20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940F67"/>
    <w:pPr>
      <w:keepNext/>
      <w:keepLines/>
      <w:numPr>
        <w:numId w:val="3"/>
      </w:numPr>
      <w:spacing w:before="480" w:after="0"/>
      <w:jc w:val="center"/>
      <w:outlineLvl w:val="0"/>
    </w:pPr>
    <w:rPr>
      <w:rFonts w:eastAsiaTheme="majorEastAsia" w:cstheme="majorBidi"/>
      <w:b/>
      <w:bCs/>
      <w:color w:val="00B05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40F67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Cs/>
      <w:color w:val="7B7B7B" w:themeColor="accent3" w:themeShade="B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0F67"/>
    <w:rPr>
      <w:rFonts w:ascii="Arial" w:eastAsiaTheme="majorEastAsia" w:hAnsi="Arial" w:cstheme="majorBidi"/>
      <w:b/>
      <w:bCs/>
      <w:color w:val="00B050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0F67"/>
    <w:rPr>
      <w:rFonts w:ascii="Arial" w:eastAsiaTheme="majorEastAsia" w:hAnsi="Arial" w:cstheme="majorBidi"/>
      <w:bCs/>
      <w:color w:val="7B7B7B" w:themeColor="accent3" w:themeShade="BF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F5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4F5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1F5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4F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1044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Hassler</dc:creator>
  <cp:keywords/>
  <dc:description/>
  <cp:lastModifiedBy>Win7</cp:lastModifiedBy>
  <cp:revision>10</cp:revision>
  <dcterms:created xsi:type="dcterms:W3CDTF">2019-05-14T18:23:00Z</dcterms:created>
  <dcterms:modified xsi:type="dcterms:W3CDTF">2019-11-06T17:35:00Z</dcterms:modified>
</cp:coreProperties>
</file>