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27BA" w14:textId="77777777" w:rsidR="00556604" w:rsidRPr="00B912F4" w:rsidRDefault="00556604" w:rsidP="005566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2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ASSESSORIA JURÍDICA</w:t>
      </w:r>
    </w:p>
    <w:p w14:paraId="52362437" w14:textId="1F78AD94" w:rsidR="00F1673C" w:rsidRPr="00D55FEF" w:rsidRDefault="00556604" w:rsidP="00D55F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2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PARECER JURÍDICO </w:t>
      </w:r>
    </w:p>
    <w:p w14:paraId="649981DB" w14:textId="438957F9" w:rsidR="00A12F02" w:rsidRDefault="00556604" w:rsidP="00A84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5EA">
        <w:rPr>
          <w:rFonts w:ascii="Times New Roman" w:hAnsi="Times New Roman" w:cs="Times New Roman"/>
          <w:b/>
          <w:bCs/>
          <w:sz w:val="24"/>
          <w:szCs w:val="24"/>
        </w:rPr>
        <w:t>DISPENSA DE LICITAÇÃO</w:t>
      </w:r>
      <w:r w:rsidR="00F1673C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POR SITUAÇÃO EMERGENCIAL</w:t>
      </w:r>
      <w:r w:rsidRPr="00DD1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00CEAA" w14:textId="77777777" w:rsidR="00B912F4" w:rsidRPr="00DD15EA" w:rsidRDefault="00B912F4" w:rsidP="00A84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78AB8" w14:textId="7287135F" w:rsidR="00C21973" w:rsidRPr="00DD15EA" w:rsidRDefault="00556604" w:rsidP="00F1673C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Trata-se de solicitação da Secretaria Municipal de </w:t>
      </w:r>
      <w:r w:rsidR="00704453" w:rsidRPr="00DD15EA">
        <w:rPr>
          <w:rFonts w:ascii="Times New Roman" w:hAnsi="Times New Roman" w:cs="Times New Roman"/>
          <w:b/>
          <w:bCs/>
          <w:sz w:val="24"/>
          <w:szCs w:val="24"/>
        </w:rPr>
        <w:t>Saúde e Assistência Social</w:t>
      </w:r>
      <w:r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DD15EA">
        <w:rPr>
          <w:rFonts w:ascii="Times New Roman" w:hAnsi="Times New Roman" w:cs="Times New Roman"/>
          <w:b/>
          <w:bCs/>
          <w:sz w:val="24"/>
          <w:szCs w:val="24"/>
        </w:rPr>
        <w:t>visando</w:t>
      </w:r>
      <w:r w:rsidR="003845C6">
        <w:rPr>
          <w:rFonts w:ascii="Times New Roman" w:hAnsi="Times New Roman" w:cs="Times New Roman"/>
          <w:b/>
          <w:bCs/>
          <w:sz w:val="24"/>
          <w:szCs w:val="24"/>
        </w:rPr>
        <w:t xml:space="preserve"> a análise de</w:t>
      </w:r>
      <w:bookmarkStart w:id="0" w:name="_Hlk14071685"/>
      <w:bookmarkStart w:id="1" w:name="_Hlk16693997"/>
      <w:bookmarkStart w:id="2" w:name="_Hlk33534037"/>
      <w:r w:rsidR="00384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01B">
        <w:rPr>
          <w:rFonts w:ascii="Times New Roman" w:hAnsi="Times New Roman" w:cs="Times New Roman"/>
          <w:b/>
          <w:bCs/>
          <w:sz w:val="24"/>
          <w:szCs w:val="24"/>
        </w:rPr>
        <w:t>contratação</w:t>
      </w:r>
      <w:r w:rsidR="00A8495A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direta de </w:t>
      </w:r>
      <w:r w:rsidR="00D6601B">
        <w:rPr>
          <w:rFonts w:ascii="Times New Roman" w:hAnsi="Times New Roman" w:cs="Times New Roman"/>
          <w:b/>
          <w:bCs/>
          <w:sz w:val="24"/>
          <w:szCs w:val="24"/>
        </w:rPr>
        <w:t xml:space="preserve">consultas em clínica geral enquanto se aguarda a finalização de certame público para a contratação de médico </w:t>
      </w:r>
      <w:bookmarkEnd w:id="0"/>
      <w:bookmarkEnd w:id="1"/>
      <w:r w:rsidR="00D85BB4">
        <w:rPr>
          <w:rFonts w:ascii="Times New Roman" w:hAnsi="Times New Roman" w:cs="Times New Roman"/>
          <w:b/>
          <w:bCs/>
          <w:sz w:val="24"/>
          <w:szCs w:val="24"/>
        </w:rPr>
        <w:t>do quadro de carreiras</w:t>
      </w:r>
      <w:r w:rsidR="00D660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7590093D" w14:textId="3F5AE393" w:rsidR="00F1673C" w:rsidRPr="00DD15EA" w:rsidRDefault="00F1673C" w:rsidP="009F6DF7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CD95DDD" w14:textId="0160B4BB" w:rsidR="00F1673C" w:rsidRPr="00DD15EA" w:rsidRDefault="00F1673C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A Secretaria Municipal de Saúde e Assistência Social </w:t>
      </w:r>
      <w:r w:rsidR="003845C6">
        <w:rPr>
          <w:rFonts w:ascii="Times New Roman" w:hAnsi="Times New Roman" w:cs="Times New Roman"/>
          <w:sz w:val="24"/>
          <w:szCs w:val="24"/>
        </w:rPr>
        <w:t>efetuou</w:t>
      </w:r>
      <w:r w:rsidR="00D85BB4" w:rsidRPr="00D85BB4">
        <w:rPr>
          <w:rFonts w:ascii="Times New Roman" w:hAnsi="Times New Roman" w:cs="Times New Roman"/>
          <w:sz w:val="24"/>
          <w:szCs w:val="24"/>
        </w:rPr>
        <w:t xml:space="preserve"> contratação direta de consultas em clínica geral enquanto se aguarda a finalização de certame público para a contratação de médico de carreira.</w:t>
      </w:r>
      <w:r w:rsidRPr="00DD15EA">
        <w:rPr>
          <w:rFonts w:ascii="Times New Roman" w:hAnsi="Times New Roman" w:cs="Times New Roman"/>
          <w:sz w:val="24"/>
          <w:szCs w:val="24"/>
        </w:rPr>
        <w:t xml:space="preserve"> Segundo a Secretaria a contratação direta se justifica pelos motivos abaixo expostos:</w:t>
      </w:r>
    </w:p>
    <w:p w14:paraId="214F8E7D" w14:textId="71CD5E86" w:rsidR="00A8495A" w:rsidRPr="00DD15EA" w:rsidRDefault="00C21973" w:rsidP="00F1673C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1.</w:t>
      </w:r>
      <w:r w:rsidRPr="00DD15EA">
        <w:rPr>
          <w:rFonts w:ascii="Times New Roman" w:hAnsi="Times New Roman" w:cs="Times New Roman"/>
          <w:i/>
          <w:iCs/>
        </w:rPr>
        <w:tab/>
      </w:r>
      <w:r w:rsidR="00D85BB4">
        <w:rPr>
          <w:rFonts w:ascii="Times New Roman" w:hAnsi="Times New Roman" w:cs="Times New Roman"/>
          <w:i/>
          <w:iCs/>
        </w:rPr>
        <w:t xml:space="preserve">o único médico do quadro da Secretaria Municipal de Saúde, Dr. Jorge Miguel </w:t>
      </w:r>
      <w:proofErr w:type="spellStart"/>
      <w:r w:rsidR="00D85BB4">
        <w:rPr>
          <w:rFonts w:ascii="Times New Roman" w:hAnsi="Times New Roman" w:cs="Times New Roman"/>
          <w:i/>
          <w:iCs/>
        </w:rPr>
        <w:t>Barbaran</w:t>
      </w:r>
      <w:proofErr w:type="spellEnd"/>
      <w:r w:rsidR="00D85B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85BB4">
        <w:rPr>
          <w:rFonts w:ascii="Times New Roman" w:hAnsi="Times New Roman" w:cs="Times New Roman"/>
          <w:i/>
          <w:iCs/>
        </w:rPr>
        <w:t>Bartra</w:t>
      </w:r>
      <w:proofErr w:type="spellEnd"/>
      <w:r w:rsidR="00D85BB4">
        <w:rPr>
          <w:rFonts w:ascii="Times New Roman" w:hAnsi="Times New Roman" w:cs="Times New Roman"/>
          <w:i/>
          <w:iCs/>
        </w:rPr>
        <w:t xml:space="preserve"> recebeu 18 dias de férias, sendo do dia 17/02/2020 até o dia 05/03/2020;</w:t>
      </w:r>
    </w:p>
    <w:p w14:paraId="4B58DDB6" w14:textId="596798B6" w:rsidR="00A8495A" w:rsidRPr="00DD15EA" w:rsidRDefault="00456396" w:rsidP="00F1673C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2</w:t>
      </w:r>
      <w:r w:rsidR="00C21973" w:rsidRPr="00DD15EA">
        <w:rPr>
          <w:rFonts w:ascii="Times New Roman" w:hAnsi="Times New Roman" w:cs="Times New Roman"/>
          <w:i/>
          <w:iCs/>
        </w:rPr>
        <w:t>.</w:t>
      </w:r>
      <w:r w:rsidR="00C21973" w:rsidRPr="00DD15EA">
        <w:rPr>
          <w:rFonts w:ascii="Times New Roman" w:hAnsi="Times New Roman" w:cs="Times New Roman"/>
          <w:i/>
          <w:iCs/>
        </w:rPr>
        <w:tab/>
      </w:r>
      <w:bookmarkStart w:id="3" w:name="_Hlk8741865"/>
      <w:r w:rsidR="00D85BB4">
        <w:rPr>
          <w:rFonts w:ascii="Times New Roman" w:hAnsi="Times New Roman" w:cs="Times New Roman"/>
          <w:i/>
          <w:iCs/>
        </w:rPr>
        <w:t>O Município de Doutor Pedrinho está aguardando para efetuar a contratação de um médico com carga horária de 40h através de concurso público, o qual já se encontra aberto, porém não será finalizado até aquela data;</w:t>
      </w:r>
      <w:r w:rsidR="00A8495A" w:rsidRPr="00DD15EA">
        <w:rPr>
          <w:rFonts w:ascii="Times New Roman" w:hAnsi="Times New Roman" w:cs="Times New Roman"/>
          <w:i/>
          <w:iCs/>
        </w:rPr>
        <w:t xml:space="preserve"> </w:t>
      </w:r>
    </w:p>
    <w:p w14:paraId="12F427AD" w14:textId="77777777" w:rsidR="00D85BB4" w:rsidRDefault="00456396" w:rsidP="00A8495A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3</w:t>
      </w:r>
      <w:r w:rsidR="00C21973" w:rsidRPr="00DD15EA">
        <w:rPr>
          <w:rFonts w:ascii="Times New Roman" w:hAnsi="Times New Roman" w:cs="Times New Roman"/>
          <w:i/>
          <w:iCs/>
        </w:rPr>
        <w:t>.</w:t>
      </w:r>
      <w:r w:rsidR="00C21973" w:rsidRPr="00DD15EA">
        <w:rPr>
          <w:rFonts w:ascii="Times New Roman" w:hAnsi="Times New Roman" w:cs="Times New Roman"/>
          <w:i/>
          <w:iCs/>
        </w:rPr>
        <w:tab/>
      </w:r>
      <w:bookmarkEnd w:id="3"/>
      <w:r w:rsidR="00D85BB4">
        <w:rPr>
          <w:rFonts w:ascii="Times New Roman" w:hAnsi="Times New Roman" w:cs="Times New Roman"/>
          <w:i/>
          <w:iCs/>
        </w:rPr>
        <w:t>A presença de um médico na Unidade Básica de Saúde é de extrema importância para o atendimento dos munícipes, e que a saúde é direito de todos e dever do Estado;</w:t>
      </w:r>
    </w:p>
    <w:p w14:paraId="0D4D4BBF" w14:textId="6355C2AF" w:rsidR="00A8495A" w:rsidRDefault="00D85BB4" w:rsidP="00A8495A">
      <w:pPr>
        <w:ind w:left="851" w:hanging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 A necessidade emergente de contratação de um médico clínico torna inviável a espera por 3 (três) orçamentos prévios à contratação;</w:t>
      </w:r>
    </w:p>
    <w:p w14:paraId="3FD16B24" w14:textId="77777777" w:rsidR="00DD15EA" w:rsidRPr="00DD15EA" w:rsidRDefault="00DD15EA" w:rsidP="00A8495A">
      <w:pPr>
        <w:ind w:left="851" w:hanging="284"/>
        <w:rPr>
          <w:rFonts w:ascii="Times New Roman" w:hAnsi="Times New Roman" w:cs="Times New Roman"/>
          <w:i/>
          <w:iCs/>
        </w:rPr>
      </w:pPr>
    </w:p>
    <w:p w14:paraId="1C15BB46" w14:textId="77777777" w:rsidR="00901957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A licitação pode ser dispensada quando a conveniência administrativa, aliada ao</w:t>
      </w:r>
      <w:r w:rsidR="00C21973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interesse público específico são enquadráveis nas previsões do art. 24 da Lei nº8.666/93.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Aduz</w:t>
      </w:r>
      <w:r w:rsidRPr="00DD15EA">
        <w:rPr>
          <w:rFonts w:ascii="Times New Roman" w:hAnsi="Times New Roman" w:cs="Times New Roman"/>
          <w:sz w:val="24"/>
          <w:szCs w:val="24"/>
        </w:rPr>
        <w:t xml:space="preserve"> o art. 24, inciso IV da Lei nº8.666/93: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E37D0" w14:textId="21AE68F4" w:rsidR="00556604" w:rsidRDefault="00556604" w:rsidP="00DD15EA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“nos casos de emergência ou de calamidade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prazo máximo de 180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 xml:space="preserve">(cento e </w:t>
      </w:r>
      <w:r w:rsidRPr="00DD15EA">
        <w:rPr>
          <w:rFonts w:ascii="Times New Roman" w:hAnsi="Times New Roman" w:cs="Times New Roman"/>
          <w:i/>
        </w:rPr>
        <w:lastRenderedPageBreak/>
        <w:t>oitenta) dias consecutivos e ininterruptos, contados da ocorrência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da emergência ou calamidade, vedada a prorrogação dos respectivos contratos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3AFD0B11" w14:textId="77777777" w:rsidR="00DD15EA" w:rsidRPr="00DD15EA" w:rsidRDefault="00DD15EA" w:rsidP="00DD15EA">
      <w:pPr>
        <w:ind w:left="567"/>
        <w:rPr>
          <w:rFonts w:ascii="Times New Roman" w:hAnsi="Times New Roman" w:cs="Times New Roman"/>
          <w:i/>
        </w:rPr>
      </w:pPr>
    </w:p>
    <w:p w14:paraId="046FCFB4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Considera-se como situação emergencial, asseguradora da regular dispensa de licitação,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aquela que precisa ser atendida com urgência, objetivando a não ocorrência de prejuízos, não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sendo comprovada a desídia do Administrador ou falta de planejamento. Já por calamidade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pública, entendam-se aquelas desgraças que atingem, de repente, grande número de cidadãos,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como, por exemplo, podemos citar a seca, as inundações, enxurradas, desabamentos, peste,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guerra, incêndio, terremoto, vendaval.</w:t>
      </w:r>
    </w:p>
    <w:p w14:paraId="507FD527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O ínclito Jessé Torres Pereira Júnior, ao comentar o referido dispositivo, cujo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entendimento é compartilhado pela doutrina dominante, afirma que:</w:t>
      </w:r>
    </w:p>
    <w:p w14:paraId="53210BD0" w14:textId="77777777" w:rsidR="00556604" w:rsidRPr="00DD15EA" w:rsidRDefault="00556604" w:rsidP="00DD15EA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“Já na vigência da Lei nº 8.666/93, o Tribunal de Contas da União definiu que: ´além da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adoção das formalidades previstas no art. 26 e seu parágrafo único da nº Lei nº 8.666/93,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são pressupostos da aplicação do caso de dispensa preconizados no art. 24, inciso IV, da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mesma lei:</w:t>
      </w:r>
    </w:p>
    <w:p w14:paraId="35CF11D1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a.1) que a situação adversa, dada como de emergência ou de calamidade pública, não se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tenha originado, total ou parcialmente da falta de planejamento, da desídia administrativa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ou da má gestão dos recursos disponíveis, ou seja, que ela não possa, em alguma medida,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ser atribuída à culpa ou dolo do agente público que tinha o dever de agir para prevenir 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ocorrência de tal situação;</w:t>
      </w:r>
    </w:p>
    <w:p w14:paraId="63EB3DF0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a.2) que exista urgência concreta e efetiva do atendimento a situação decorrente do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estado emergencial ou calamitoso, visando afastar risco de danos a bens ou à saúde ou à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vida das pessoas;</w:t>
      </w:r>
    </w:p>
    <w:p w14:paraId="52B4172C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a.3) que o risco, além de concreto e efetivamente provável, se mostre iminente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especialmente gravoso;</w:t>
      </w:r>
    </w:p>
    <w:p w14:paraId="624CEDB9" w14:textId="38A0E51E" w:rsidR="00DD15EA" w:rsidRPr="00DD15EA" w:rsidRDefault="00556604" w:rsidP="003A535F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a.4) que a imediata efetivação, por meio de contratação com terceiro, de determinadas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obras, serviços ou compras, segundo as especificações e quantitativos tecnicamente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apurados, seja o meio adequado, efetivo e eficiente de afastar o risco iminente detectado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63F2EED6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Consoante o 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renomado </w:t>
      </w:r>
      <w:r w:rsidRPr="00DD15EA">
        <w:rPr>
          <w:rFonts w:ascii="Times New Roman" w:hAnsi="Times New Roman" w:cs="Times New Roman"/>
          <w:sz w:val="24"/>
          <w:szCs w:val="24"/>
        </w:rPr>
        <w:t xml:space="preserve">Professor Marçal </w:t>
      </w:r>
      <w:proofErr w:type="spellStart"/>
      <w:r w:rsidRPr="00DD15EA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DD15EA">
        <w:rPr>
          <w:rFonts w:ascii="Times New Roman" w:hAnsi="Times New Roman" w:cs="Times New Roman"/>
          <w:sz w:val="24"/>
          <w:szCs w:val="24"/>
        </w:rPr>
        <w:t xml:space="preserve"> Filho, para a caracterização dessa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hipótese de dispensa de licitação é necessário o preenchimento de dois requisitos, quais sejam,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a demonstração concreta e efetiva da potencialidade do dano e a demonstração de que 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contratação é a via adequada e efetiva para eliminar o risco.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O Tribunal de Contas da União tem mantido o posicionamento de que é cabível 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dispensa de licitação:</w:t>
      </w:r>
    </w:p>
    <w:p w14:paraId="79C1749C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Dispensa – emergência</w:t>
      </w:r>
    </w:p>
    <w:p w14:paraId="0DA381F5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TCU decidiu: “a urgência de atendimento para a dispensa de licitação é aquela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qualificada pelo risco da ocorrência de prejuízo ou comprometimento da segurança de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 xml:space="preserve">pessoas, obras e </w:t>
      </w:r>
      <w:r w:rsidRPr="00DD15EA">
        <w:rPr>
          <w:rFonts w:ascii="Times New Roman" w:hAnsi="Times New Roman" w:cs="Times New Roman"/>
          <w:i/>
        </w:rPr>
        <w:lastRenderedPageBreak/>
        <w:t>serviços, equipamentos ou outros bens públicos e particulares, caso as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medidas requeridas não sejam adotadas de pronto.”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(Fonte: TCU. Processo nº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009.248/94-3. Decisão nº347/1994 – Plenário e TCU - Processo nº 500.296/96-0.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Decisão nº 820/1996- Plenário)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54BD3C17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“Emergência – calamidade pública</w:t>
      </w:r>
    </w:p>
    <w:p w14:paraId="7AB71F02" w14:textId="2934BEE1" w:rsidR="0061431F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 xml:space="preserve">Nota : o TCU decidiu em resposta </w:t>
      </w:r>
      <w:proofErr w:type="spellStart"/>
      <w:r w:rsidRPr="00DD15EA">
        <w:rPr>
          <w:rFonts w:ascii="Times New Roman" w:hAnsi="Times New Roman" w:cs="Times New Roman"/>
          <w:i/>
        </w:rPr>
        <w:t>a</w:t>
      </w:r>
      <w:proofErr w:type="spellEnd"/>
      <w:r w:rsidRPr="00DD15EA">
        <w:rPr>
          <w:rFonts w:ascii="Times New Roman" w:hAnsi="Times New Roman" w:cs="Times New Roman"/>
          <w:i/>
        </w:rPr>
        <w:t xml:space="preserve"> consulta, que é dispensável a licitação no caso de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calamidade pública desde que observados os artigos 24, IV, e 26 da Lei nº8.666/93,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bem como os pressupostos estabelecidos em caráter normativo na Decisão nº 347/94 e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ainda, a observância do Decreto federal nº895/93, justificativa da escolha do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fornecedor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(capacidade técnica).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Fonte: TCU. Processo nº929.114/98-1. Decisão nº 627/1999 – Plenário</w:t>
      </w:r>
      <w:r w:rsidR="0061431F" w:rsidRPr="00DD15EA">
        <w:rPr>
          <w:rFonts w:ascii="Times New Roman" w:hAnsi="Times New Roman" w:cs="Times New Roman"/>
          <w:i/>
        </w:rPr>
        <w:t>”.</w:t>
      </w:r>
    </w:p>
    <w:p w14:paraId="678B88BD" w14:textId="77777777" w:rsidR="00DD15EA" w:rsidRPr="00DD15EA" w:rsidRDefault="00DD15EA" w:rsidP="00577855">
      <w:pPr>
        <w:ind w:left="567"/>
        <w:rPr>
          <w:rFonts w:ascii="Times New Roman" w:hAnsi="Times New Roman" w:cs="Times New Roman"/>
          <w:i/>
        </w:rPr>
      </w:pPr>
    </w:p>
    <w:p w14:paraId="5E2D9C11" w14:textId="77777777" w:rsidR="00E370B2" w:rsidRPr="00DD15EA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Assim, o Estatuto de Licitações permite, como ressalva à obrigação de licitar, a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contratação direta, através de processos de dispensa e inexigibilidade de licitação, desde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que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preenchidos os requisitos previstos na lei.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ED6D2" w14:textId="6D819701" w:rsidR="00F51C34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No caso em </w:t>
      </w:r>
      <w:r w:rsidR="0061431F" w:rsidRPr="00DD15EA">
        <w:rPr>
          <w:rFonts w:ascii="Times New Roman" w:hAnsi="Times New Roman" w:cs="Times New Roman"/>
          <w:sz w:val="24"/>
          <w:szCs w:val="24"/>
        </w:rPr>
        <w:t>comento</w:t>
      </w:r>
      <w:r w:rsidRPr="00DD15EA">
        <w:rPr>
          <w:rFonts w:ascii="Times New Roman" w:hAnsi="Times New Roman" w:cs="Times New Roman"/>
          <w:sz w:val="24"/>
          <w:szCs w:val="24"/>
        </w:rPr>
        <w:t xml:space="preserve">, a situação de emergência está plenamente comprovada, uma vez que </w:t>
      </w:r>
      <w:r w:rsidR="00E370B2" w:rsidRPr="00DD15EA">
        <w:rPr>
          <w:rFonts w:ascii="Times New Roman" w:hAnsi="Times New Roman" w:cs="Times New Roman"/>
          <w:sz w:val="24"/>
          <w:szCs w:val="24"/>
        </w:rPr>
        <w:t>está clara a necessidade de celeridade na contratação</w:t>
      </w:r>
      <w:r w:rsidR="00F51C34">
        <w:rPr>
          <w:rFonts w:ascii="Times New Roman" w:hAnsi="Times New Roman" w:cs="Times New Roman"/>
          <w:sz w:val="24"/>
          <w:szCs w:val="24"/>
        </w:rPr>
        <w:t xml:space="preserve"> direta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d</w:t>
      </w:r>
      <w:r w:rsidR="00F51C34">
        <w:rPr>
          <w:rFonts w:ascii="Times New Roman" w:hAnsi="Times New Roman" w:cs="Times New Roman"/>
          <w:sz w:val="24"/>
          <w:szCs w:val="24"/>
        </w:rPr>
        <w:t>e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empresa para </w:t>
      </w:r>
      <w:r w:rsidR="00F51C34">
        <w:rPr>
          <w:rFonts w:ascii="Times New Roman" w:hAnsi="Times New Roman" w:cs="Times New Roman"/>
          <w:sz w:val="24"/>
          <w:szCs w:val="24"/>
        </w:rPr>
        <w:t xml:space="preserve">a realização de consultas </w:t>
      </w:r>
      <w:r w:rsidR="00F51C34" w:rsidRPr="00F51C34">
        <w:rPr>
          <w:rFonts w:ascii="Times New Roman" w:hAnsi="Times New Roman" w:cs="Times New Roman"/>
          <w:sz w:val="24"/>
          <w:szCs w:val="24"/>
        </w:rPr>
        <w:t>em clínica geral enquanto se aguarda a finalização de certame público para a contratação de médico do quadro de carreiras.</w:t>
      </w:r>
    </w:p>
    <w:p w14:paraId="1D23D7A4" w14:textId="7247C0C1" w:rsidR="00F51C34" w:rsidRDefault="00F51C3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</w:t>
      </w:r>
      <w:r w:rsidR="001A67B2" w:rsidRPr="00DD15EA">
        <w:rPr>
          <w:rFonts w:ascii="Times New Roman" w:hAnsi="Times New Roman" w:cs="Times New Roman"/>
          <w:sz w:val="24"/>
          <w:szCs w:val="24"/>
        </w:rPr>
        <w:t xml:space="preserve"> não é razoável que </w:t>
      </w:r>
      <w:r w:rsidR="00577855" w:rsidRPr="00DD15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77855" w:rsidRPr="00DD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munícipes fiquem desassistidos de um serviço tão vital, cuja imprescindibilidade não fomenta qualquer discussão lastreada na razoabilidade. Importante ressaltar que o profissional que está em gozo de férias é o </w:t>
      </w:r>
      <w:r w:rsidRPr="00F51C34">
        <w:rPr>
          <w:rFonts w:ascii="Times New Roman" w:hAnsi="Times New Roman" w:cs="Times New Roman"/>
          <w:b/>
          <w:bCs/>
          <w:sz w:val="24"/>
          <w:szCs w:val="24"/>
          <w:u w:val="single"/>
        </w:rPr>
        <w:t>único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médico</w:t>
      </w:r>
      <w:r w:rsidRPr="00F51C34">
        <w:rPr>
          <w:rFonts w:ascii="Times New Roman" w:hAnsi="Times New Roman" w:cs="Times New Roman"/>
          <w:sz w:val="24"/>
          <w:szCs w:val="24"/>
        </w:rPr>
        <w:t xml:space="preserve"> do quadro da municipalidade lotado na Unidade Básica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6D8B7" w14:textId="795EA556" w:rsidR="00DD15EA" w:rsidRDefault="00F51C34" w:rsidP="00F51C3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há de se considerar que não podem os cidadãos prescindir do atendimento médico durante o </w:t>
      </w:r>
      <w:r w:rsidR="00577855" w:rsidRPr="00DD15EA">
        <w:rPr>
          <w:rFonts w:ascii="Times New Roman" w:hAnsi="Times New Roman" w:cs="Times New Roman"/>
          <w:sz w:val="24"/>
          <w:szCs w:val="24"/>
        </w:rPr>
        <w:t xml:space="preserve">desenrolar de um </w:t>
      </w:r>
      <w:r>
        <w:rPr>
          <w:rFonts w:ascii="Times New Roman" w:hAnsi="Times New Roman" w:cs="Times New Roman"/>
          <w:sz w:val="24"/>
          <w:szCs w:val="24"/>
        </w:rPr>
        <w:t>Concurso Público</w:t>
      </w:r>
      <w:r w:rsidR="00577855" w:rsidRPr="00DD15EA">
        <w:rPr>
          <w:rFonts w:ascii="Times New Roman" w:hAnsi="Times New Roman" w:cs="Times New Roman"/>
          <w:sz w:val="24"/>
          <w:szCs w:val="24"/>
        </w:rPr>
        <w:t>, o qual está sujeito a prazos legais, recursos e até mesmo suspensões em esfera judicial.</w:t>
      </w:r>
      <w:r w:rsid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25FE" w14:textId="541E403E" w:rsidR="00556604" w:rsidRPr="00DD15EA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Assim, considerando que a contratação do serviço pode ser feita sem procedimento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licitatório, pois a situação se enquadra nas hipóteses do art. 24, inciso IV da Lei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nº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 xml:space="preserve">8.666/93, </w:t>
      </w:r>
      <w:r w:rsidR="00DD15EA">
        <w:rPr>
          <w:rFonts w:ascii="Times New Roman" w:hAnsi="Times New Roman" w:cs="Times New Roman"/>
          <w:sz w:val="24"/>
          <w:szCs w:val="24"/>
          <w:u w:val="single"/>
        </w:rPr>
        <w:t>entendo não haver óbice de natureza jurídica para a contratação</w:t>
      </w:r>
      <w:r w:rsidR="003845C6">
        <w:rPr>
          <w:rFonts w:ascii="Times New Roman" w:hAnsi="Times New Roman" w:cs="Times New Roman"/>
          <w:sz w:val="24"/>
          <w:szCs w:val="24"/>
          <w:u w:val="single"/>
        </w:rPr>
        <w:t xml:space="preserve"> efetuada</w:t>
      </w:r>
      <w:r w:rsidR="00A12F02" w:rsidRPr="00DD15EA">
        <w:rPr>
          <w:rFonts w:ascii="Times New Roman" w:hAnsi="Times New Roman" w:cs="Times New Roman"/>
          <w:sz w:val="24"/>
          <w:szCs w:val="24"/>
        </w:rPr>
        <w:t>, que deverá ocorrer dentro dos preceitos legais,</w:t>
      </w:r>
      <w:r w:rsidR="00D55FEF">
        <w:rPr>
          <w:rFonts w:ascii="Times New Roman" w:hAnsi="Times New Roman" w:cs="Times New Roman"/>
          <w:sz w:val="24"/>
          <w:szCs w:val="24"/>
        </w:rPr>
        <w:t xml:space="preserve"> inclusive com formalização por meio de termo de contrato,</w:t>
      </w:r>
      <w:r w:rsidR="00A12F02" w:rsidRPr="00DD15EA">
        <w:rPr>
          <w:rFonts w:ascii="Times New Roman" w:hAnsi="Times New Roman" w:cs="Times New Roman"/>
          <w:sz w:val="24"/>
          <w:szCs w:val="24"/>
        </w:rPr>
        <w:t xml:space="preserve"> adotando</w:t>
      </w:r>
      <w:r w:rsidR="003845C6">
        <w:rPr>
          <w:rFonts w:ascii="Times New Roman" w:hAnsi="Times New Roman" w:cs="Times New Roman"/>
          <w:sz w:val="24"/>
          <w:szCs w:val="24"/>
        </w:rPr>
        <w:t>-se</w:t>
      </w:r>
      <w:r w:rsidR="00A12F02" w:rsidRPr="00DD15EA">
        <w:rPr>
          <w:rFonts w:ascii="Times New Roman" w:hAnsi="Times New Roman" w:cs="Times New Roman"/>
          <w:sz w:val="24"/>
          <w:szCs w:val="24"/>
        </w:rPr>
        <w:t xml:space="preserve"> todos os procedimentos de praxe para o feito</w:t>
      </w:r>
      <w:r w:rsidRPr="00DD15EA">
        <w:rPr>
          <w:rFonts w:ascii="Times New Roman" w:hAnsi="Times New Roman" w:cs="Times New Roman"/>
          <w:sz w:val="24"/>
          <w:szCs w:val="24"/>
        </w:rPr>
        <w:t>.</w:t>
      </w:r>
    </w:p>
    <w:p w14:paraId="1C582A8E" w14:textId="0428DAD2" w:rsidR="000247F1" w:rsidRDefault="000247F1" w:rsidP="00733681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DD15EA">
        <w:rPr>
          <w:rFonts w:ascii="Times New Roman" w:hAnsi="Times New Roman" w:cs="Times New Roman"/>
          <w:sz w:val="24"/>
          <w:szCs w:val="24"/>
        </w:rPr>
        <w:t>Saliento,</w:t>
      </w:r>
      <w:r w:rsidR="001A67B2" w:rsidRPr="00DD15EA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1A67B2" w:rsidRPr="00DD15EA">
        <w:rPr>
          <w:rFonts w:ascii="Times New Roman" w:hAnsi="Times New Roman" w:cs="Times New Roman"/>
          <w:sz w:val="24"/>
          <w:szCs w:val="24"/>
          <w:u w:val="single"/>
        </w:rPr>
        <w:t xml:space="preserve">a contratação direta deverá se realizar pelo menor lapso temporal possível, estendendo-se somente pelo tempo necessário para </w:t>
      </w:r>
      <w:r w:rsidR="003845C6">
        <w:rPr>
          <w:rFonts w:ascii="Times New Roman" w:hAnsi="Times New Roman" w:cs="Times New Roman"/>
          <w:sz w:val="24"/>
          <w:szCs w:val="24"/>
          <w:u w:val="single"/>
        </w:rPr>
        <w:t>a conclusão do Concurso Público e posterior contratação de profissional para o quadro de carreiras.</w:t>
      </w:r>
    </w:p>
    <w:p w14:paraId="2E5F4A0F" w14:textId="54486D46" w:rsidR="003845C6" w:rsidRDefault="003845C6" w:rsidP="0073368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845C6">
        <w:rPr>
          <w:rFonts w:ascii="Times New Roman" w:hAnsi="Times New Roman" w:cs="Times New Roman"/>
          <w:sz w:val="24"/>
          <w:szCs w:val="24"/>
        </w:rPr>
        <w:t>Saliento ainda que deverá a Secretaria Municipal de Saúde, juntar ao processo de dispensa, orçamentos que venham demonstrar que a contratação foi efetuada por valores dentro da realidade de mercado.</w:t>
      </w:r>
    </w:p>
    <w:p w14:paraId="7994FBE1" w14:textId="32059C4C" w:rsidR="003845C6" w:rsidRDefault="003845C6" w:rsidP="0073368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último, ressalto que, em obediência ao disposto no </w:t>
      </w:r>
      <w:r w:rsidRPr="003845C6">
        <w:rPr>
          <w:rFonts w:ascii="Times New Roman" w:hAnsi="Times New Roman" w:cs="Times New Roman"/>
          <w:i/>
          <w:iCs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Art. 26 da Lei 8.666/93, todo o processo de dispensa </w:t>
      </w:r>
      <w:r w:rsidRPr="003845C6">
        <w:rPr>
          <w:rFonts w:ascii="Times New Roman" w:hAnsi="Times New Roman" w:cs="Times New Roman"/>
          <w:sz w:val="24"/>
          <w:szCs w:val="24"/>
        </w:rPr>
        <w:t>dever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845C6">
        <w:rPr>
          <w:rFonts w:ascii="Times New Roman" w:hAnsi="Times New Roman" w:cs="Times New Roman"/>
          <w:sz w:val="24"/>
          <w:szCs w:val="24"/>
        </w:rPr>
        <w:t xml:space="preserve"> ser comunicado, dentro de 3 (três) dias, à autoridade superior, para ratificação e publicação na imprensa oficial, no prazo de 5 (cinco) dias,</w:t>
      </w:r>
      <w:r w:rsidR="00D55FEF">
        <w:rPr>
          <w:rFonts w:ascii="Times New Roman" w:hAnsi="Times New Roman" w:cs="Times New Roman"/>
          <w:sz w:val="24"/>
          <w:szCs w:val="24"/>
        </w:rPr>
        <w:t xml:space="preserve"> a contar da contratação,</w:t>
      </w:r>
      <w:r w:rsidRPr="003845C6">
        <w:rPr>
          <w:rFonts w:ascii="Times New Roman" w:hAnsi="Times New Roman" w:cs="Times New Roman"/>
          <w:sz w:val="24"/>
          <w:szCs w:val="24"/>
        </w:rPr>
        <w:t xml:space="preserve"> como condição para a eficácia dos atos.    </w:t>
      </w:r>
    </w:p>
    <w:p w14:paraId="7D65526A" w14:textId="77777777" w:rsidR="002B0F3A" w:rsidRPr="00DD15EA" w:rsidRDefault="00A12F02" w:rsidP="002B0F3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É o Parecer.</w:t>
      </w:r>
    </w:p>
    <w:p w14:paraId="6D749094" w14:textId="77777777" w:rsidR="003A17DE" w:rsidRDefault="003A17DE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33179BA1" w14:textId="656EEAE1" w:rsidR="00A12F02" w:rsidRPr="00DD15EA" w:rsidRDefault="00A12F02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3845C6">
        <w:rPr>
          <w:rFonts w:ascii="Times New Roman" w:hAnsi="Times New Roman" w:cs="Times New Roman"/>
          <w:sz w:val="24"/>
          <w:szCs w:val="24"/>
        </w:rPr>
        <w:t>2</w:t>
      </w:r>
      <w:r w:rsidR="003A17DE">
        <w:rPr>
          <w:rFonts w:ascii="Times New Roman" w:hAnsi="Times New Roman" w:cs="Times New Roman"/>
          <w:sz w:val="24"/>
          <w:szCs w:val="24"/>
        </w:rPr>
        <w:t>6</w:t>
      </w:r>
      <w:r w:rsidRPr="00DD15EA">
        <w:rPr>
          <w:rFonts w:ascii="Times New Roman" w:hAnsi="Times New Roman" w:cs="Times New Roman"/>
          <w:sz w:val="24"/>
          <w:szCs w:val="24"/>
        </w:rPr>
        <w:t xml:space="preserve"> de</w:t>
      </w:r>
      <w:r w:rsidR="00DD15EA">
        <w:rPr>
          <w:rFonts w:ascii="Times New Roman" w:hAnsi="Times New Roman" w:cs="Times New Roman"/>
          <w:sz w:val="24"/>
          <w:szCs w:val="24"/>
        </w:rPr>
        <w:t xml:space="preserve"> </w:t>
      </w:r>
      <w:r w:rsidR="00D55FEF">
        <w:rPr>
          <w:rFonts w:ascii="Times New Roman" w:hAnsi="Times New Roman" w:cs="Times New Roman"/>
          <w:sz w:val="24"/>
          <w:szCs w:val="24"/>
        </w:rPr>
        <w:t>fevereiro</w:t>
      </w:r>
      <w:r w:rsidRPr="00DD15EA">
        <w:rPr>
          <w:rFonts w:ascii="Times New Roman" w:hAnsi="Times New Roman" w:cs="Times New Roman"/>
          <w:sz w:val="24"/>
          <w:szCs w:val="24"/>
        </w:rPr>
        <w:t xml:space="preserve"> de 20</w:t>
      </w:r>
      <w:r w:rsidR="00D55FEF">
        <w:rPr>
          <w:rFonts w:ascii="Times New Roman" w:hAnsi="Times New Roman" w:cs="Times New Roman"/>
          <w:sz w:val="24"/>
          <w:szCs w:val="24"/>
        </w:rPr>
        <w:t>20</w:t>
      </w:r>
      <w:r w:rsidRPr="00DD15EA">
        <w:rPr>
          <w:rFonts w:ascii="Times New Roman" w:hAnsi="Times New Roman" w:cs="Times New Roman"/>
          <w:sz w:val="24"/>
          <w:szCs w:val="24"/>
        </w:rPr>
        <w:t>.</w:t>
      </w:r>
    </w:p>
    <w:p w14:paraId="34E2C6D1" w14:textId="576FF17D" w:rsidR="002B0F3A" w:rsidRDefault="002B0F3A" w:rsidP="00577855">
      <w:pPr>
        <w:rPr>
          <w:rFonts w:ascii="Times New Roman" w:hAnsi="Times New Roman" w:cs="Times New Roman"/>
          <w:sz w:val="24"/>
          <w:szCs w:val="24"/>
        </w:rPr>
      </w:pPr>
    </w:p>
    <w:p w14:paraId="7C9039B3" w14:textId="3E28C7E4" w:rsidR="00DD15EA" w:rsidRDefault="00DD15EA" w:rsidP="00DD15EA">
      <w:pPr>
        <w:rPr>
          <w:rFonts w:ascii="Times New Roman" w:hAnsi="Times New Roman" w:cs="Times New Roman"/>
          <w:sz w:val="24"/>
          <w:szCs w:val="24"/>
        </w:rPr>
      </w:pPr>
    </w:p>
    <w:p w14:paraId="3D8958A9" w14:textId="591B1546" w:rsidR="003A17DE" w:rsidRDefault="003A17DE" w:rsidP="00DD15EA">
      <w:pPr>
        <w:rPr>
          <w:rFonts w:ascii="Times New Roman" w:hAnsi="Times New Roman" w:cs="Times New Roman"/>
          <w:sz w:val="24"/>
          <w:szCs w:val="24"/>
        </w:rPr>
      </w:pPr>
    </w:p>
    <w:p w14:paraId="7F0BFC03" w14:textId="77777777" w:rsidR="003A17DE" w:rsidRDefault="003A17DE" w:rsidP="00DD15EA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1E73C528" w14:textId="6B359500" w:rsidR="003A17DE" w:rsidRDefault="003A17DE" w:rsidP="00DD15EA">
      <w:pPr>
        <w:rPr>
          <w:rFonts w:ascii="Times New Roman" w:hAnsi="Times New Roman" w:cs="Times New Roman"/>
          <w:sz w:val="24"/>
          <w:szCs w:val="24"/>
        </w:rPr>
      </w:pPr>
    </w:p>
    <w:p w14:paraId="01A203FC" w14:textId="77777777" w:rsidR="003A17DE" w:rsidRDefault="003A17DE" w:rsidP="00DD15EA">
      <w:pPr>
        <w:rPr>
          <w:rFonts w:ascii="Times New Roman" w:hAnsi="Times New Roman" w:cs="Times New Roman"/>
          <w:sz w:val="24"/>
          <w:szCs w:val="24"/>
        </w:rPr>
      </w:pPr>
    </w:p>
    <w:p w14:paraId="156380D7" w14:textId="77777777" w:rsidR="003A17DE" w:rsidRPr="00DD15EA" w:rsidRDefault="003A17DE" w:rsidP="00DD15EA">
      <w:pPr>
        <w:rPr>
          <w:rFonts w:ascii="Times New Roman" w:hAnsi="Times New Roman" w:cs="Times New Roman"/>
          <w:sz w:val="24"/>
          <w:szCs w:val="24"/>
        </w:rPr>
      </w:pPr>
    </w:p>
    <w:p w14:paraId="7AF2095A" w14:textId="77777777" w:rsidR="002B0F3A" w:rsidRPr="00DD15EA" w:rsidRDefault="002B0F3A" w:rsidP="003A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E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325DC233" w14:textId="77777777" w:rsidR="000B5422" w:rsidRPr="00DD15EA" w:rsidRDefault="002B0F3A" w:rsidP="00DD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Assessor Jurídico OAB/SC 52.912</w:t>
      </w:r>
    </w:p>
    <w:p w14:paraId="6AF010F5" w14:textId="77777777" w:rsidR="00A8495A" w:rsidRPr="00A8495A" w:rsidRDefault="00A8495A">
      <w:pPr>
        <w:ind w:firstLine="1134"/>
        <w:jc w:val="center"/>
        <w:rPr>
          <w:rFonts w:ascii="Times New Roman" w:hAnsi="Times New Roman" w:cs="Times New Roman"/>
        </w:rPr>
      </w:pPr>
    </w:p>
    <w:sectPr w:rsidR="00A8495A" w:rsidRPr="00A8495A" w:rsidSect="003A17DE">
      <w:pgSz w:w="11906" w:h="16838"/>
      <w:pgMar w:top="2268" w:right="1133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04"/>
    <w:rsid w:val="000247F1"/>
    <w:rsid w:val="000B5422"/>
    <w:rsid w:val="001A67B2"/>
    <w:rsid w:val="002B0F3A"/>
    <w:rsid w:val="003845C6"/>
    <w:rsid w:val="003A17DE"/>
    <w:rsid w:val="003A535F"/>
    <w:rsid w:val="003C2DA7"/>
    <w:rsid w:val="00456396"/>
    <w:rsid w:val="00556604"/>
    <w:rsid w:val="00577855"/>
    <w:rsid w:val="0061431F"/>
    <w:rsid w:val="00704453"/>
    <w:rsid w:val="00733681"/>
    <w:rsid w:val="007D307E"/>
    <w:rsid w:val="00901957"/>
    <w:rsid w:val="00940F67"/>
    <w:rsid w:val="009F6DF7"/>
    <w:rsid w:val="00A12F02"/>
    <w:rsid w:val="00A8495A"/>
    <w:rsid w:val="00B912F4"/>
    <w:rsid w:val="00C21973"/>
    <w:rsid w:val="00D55FEF"/>
    <w:rsid w:val="00D6601B"/>
    <w:rsid w:val="00D85BB4"/>
    <w:rsid w:val="00DD15EA"/>
    <w:rsid w:val="00E370B2"/>
    <w:rsid w:val="00F1673C"/>
    <w:rsid w:val="00F51C34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FE4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User</cp:lastModifiedBy>
  <cp:revision>12</cp:revision>
  <dcterms:created xsi:type="dcterms:W3CDTF">2019-10-30T19:34:00Z</dcterms:created>
  <dcterms:modified xsi:type="dcterms:W3CDTF">2020-02-26T22:49:00Z</dcterms:modified>
</cp:coreProperties>
</file>